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F128" w14:textId="356AFD7A" w:rsidR="006341A7" w:rsidRPr="00676F5B" w:rsidRDefault="006341A7" w:rsidP="00524F39">
      <w:pPr>
        <w:ind w:left="-360" w:right="-360"/>
        <w:jc w:val="both"/>
        <w:rPr>
          <w:rFonts w:ascii="Times New Roman" w:eastAsiaTheme="minorHAnsi" w:hAnsi="Times New Roman" w:cs="Times New Roman"/>
        </w:rPr>
      </w:pPr>
      <w:r w:rsidRPr="00676F5B">
        <w:rPr>
          <w:rFonts w:ascii="Times New Roman" w:hAnsi="Times New Roman" w:cs="Times New Roman"/>
          <w:shd w:val="clear" w:color="auto" w:fill="FFFFFF"/>
        </w:rPr>
        <w:t>Antibody–drug conjugates (ADCs) are</w:t>
      </w:r>
      <w:r w:rsidR="00C6739B" w:rsidRPr="00676F5B">
        <w:rPr>
          <w:rFonts w:ascii="Times New Roman" w:hAnsi="Times New Roman" w:cs="Times New Roman"/>
          <w:shd w:val="clear" w:color="auto" w:fill="FFFFFF"/>
        </w:rPr>
        <w:t xml:space="preserve"> among the</w:t>
      </w:r>
      <w:r w:rsidR="00D85049">
        <w:rPr>
          <w:rFonts w:ascii="Times New Roman" w:hAnsi="Times New Roman" w:cs="Times New Roman"/>
          <w:shd w:val="clear" w:color="auto" w:fill="FFFFFF"/>
        </w:rPr>
        <w:t xml:space="preserve"> f</w:t>
      </w:r>
      <w:r w:rsidR="00C6739B" w:rsidRPr="00676F5B">
        <w:rPr>
          <w:rFonts w:ascii="Times New Roman" w:hAnsi="Times New Roman" w:cs="Times New Roman"/>
          <w:shd w:val="clear" w:color="auto" w:fill="FFFFFF"/>
        </w:rPr>
        <w:t xml:space="preserve">astest growing drug classes in oncology </w:t>
      </w:r>
      <w:r w:rsidR="004F2C47" w:rsidRPr="00676F5B">
        <w:rPr>
          <w:rFonts w:ascii="Times New Roman" w:hAnsi="Times New Roman" w:cs="Times New Roman"/>
          <w:shd w:val="clear" w:color="auto" w:fill="FFFFFF"/>
        </w:rPr>
        <w:t xml:space="preserve">cancer </w:t>
      </w:r>
      <w:r w:rsidRPr="00676F5B">
        <w:rPr>
          <w:rFonts w:ascii="Times New Roman" w:hAnsi="Times New Roman" w:cs="Times New Roman"/>
          <w:shd w:val="clear" w:color="auto" w:fill="FFFFFF"/>
        </w:rPr>
        <w:t>drug</w:t>
      </w:r>
      <w:r w:rsidR="00B93E7A" w:rsidRPr="00676F5B">
        <w:rPr>
          <w:rFonts w:ascii="Times New Roman" w:hAnsi="Times New Roman" w:cs="Times New Roman"/>
          <w:shd w:val="clear" w:color="auto" w:fill="FFFFFF"/>
        </w:rPr>
        <w:t xml:space="preserve"> development</w:t>
      </w:r>
      <w:r w:rsidR="00C6739B" w:rsidRPr="00676F5B">
        <w:rPr>
          <w:rFonts w:ascii="Times New Roman" w:hAnsi="Times New Roman" w:cs="Times New Roman"/>
          <w:shd w:val="clear" w:color="auto" w:fill="FFFFFF"/>
        </w:rPr>
        <w:t>. ADCs</w:t>
      </w:r>
      <w:r w:rsidRPr="00676F5B">
        <w:rPr>
          <w:rFonts w:ascii="Times New Roman" w:hAnsi="Times New Roman" w:cs="Times New Roman"/>
          <w:shd w:val="clear" w:color="auto" w:fill="FFFFFF"/>
        </w:rPr>
        <w:t xml:space="preserve"> exploit the specificity of </w:t>
      </w:r>
      <w:r w:rsidR="007756AB" w:rsidRPr="00676F5B">
        <w:rPr>
          <w:rFonts w:ascii="Times New Roman" w:hAnsi="Times New Roman" w:cs="Times New Roman"/>
          <w:shd w:val="clear" w:color="auto" w:fill="FFFFFF"/>
        </w:rPr>
        <w:t xml:space="preserve">a tumor-specific antigen </w:t>
      </w:r>
      <w:r w:rsidRPr="00676F5B">
        <w:rPr>
          <w:rFonts w:ascii="Times New Roman" w:hAnsi="Times New Roman" w:cs="Times New Roman"/>
          <w:shd w:val="clear" w:color="auto" w:fill="FFFFFF"/>
        </w:rPr>
        <w:t xml:space="preserve">to </w:t>
      </w:r>
      <w:r w:rsidR="00B122EF" w:rsidRPr="00676F5B">
        <w:rPr>
          <w:rFonts w:ascii="Times New Roman" w:hAnsi="Times New Roman" w:cs="Times New Roman"/>
          <w:shd w:val="clear" w:color="auto" w:fill="FFFFFF"/>
        </w:rPr>
        <w:t>deliver</w:t>
      </w:r>
      <w:r w:rsidRPr="00676F5B">
        <w:rPr>
          <w:rFonts w:ascii="Times New Roman" w:hAnsi="Times New Roman" w:cs="Times New Roman"/>
          <w:shd w:val="clear" w:color="auto" w:fill="FFFFFF"/>
        </w:rPr>
        <w:t xml:space="preserve"> a potent cytotoxic payload</w:t>
      </w:r>
      <w:r w:rsidR="00B122EF" w:rsidRPr="00676F5B">
        <w:rPr>
          <w:rFonts w:ascii="Times New Roman" w:hAnsi="Times New Roman" w:cs="Times New Roman"/>
          <w:shd w:val="clear" w:color="auto" w:fill="FFFFFF"/>
        </w:rPr>
        <w:t xml:space="preserve"> directly to tumor cells</w:t>
      </w:r>
      <w:r w:rsidR="004F2C47" w:rsidRPr="00676F5B">
        <w:rPr>
          <w:rFonts w:ascii="Times New Roman" w:hAnsi="Times New Roman" w:cs="Times New Roman"/>
          <w:shd w:val="clear" w:color="auto" w:fill="FFFFFF"/>
        </w:rPr>
        <w:t xml:space="preserve"> </w:t>
      </w:r>
      <w:r w:rsidRPr="00676F5B">
        <w:rPr>
          <w:rFonts w:ascii="Times New Roman" w:hAnsi="Times New Roman" w:cs="Times New Roman"/>
          <w:shd w:val="clear" w:color="auto" w:fill="FFFFFF"/>
        </w:rPr>
        <w:t>while minimizing toxicity to normal tissue</w:t>
      </w:r>
      <w:r w:rsidR="009D7D15" w:rsidRPr="00676F5B">
        <w:rPr>
          <w:rFonts w:ascii="Times New Roman" w:hAnsi="Times New Roman" w:cs="Times New Roman"/>
          <w:shd w:val="clear" w:color="auto" w:fill="FFFFFF"/>
        </w:rPr>
        <w:t>.</w:t>
      </w:r>
      <w:r w:rsidR="00B93E7A" w:rsidRPr="00676F5B">
        <w:rPr>
          <w:rFonts w:ascii="Times New Roman" w:hAnsi="Times New Roman" w:cs="Times New Roman"/>
          <w:shd w:val="clear" w:color="auto" w:fill="FFFFFF"/>
        </w:rPr>
        <w:t xml:space="preserve"> </w:t>
      </w:r>
      <w:r w:rsidR="000D7176" w:rsidRPr="00676F5B">
        <w:rPr>
          <w:rFonts w:ascii="Times New Roman" w:hAnsi="Times New Roman" w:cs="Times New Roman"/>
          <w:shd w:val="clear" w:color="auto" w:fill="FFFFFF"/>
        </w:rPr>
        <w:t xml:space="preserve">ADCs </w:t>
      </w:r>
      <w:r w:rsidR="001D7D95" w:rsidRPr="00676F5B">
        <w:rPr>
          <w:rFonts w:ascii="Times New Roman" w:hAnsi="Times New Roman" w:cs="Times New Roman"/>
          <w:shd w:val="clear" w:color="auto" w:fill="FFFFFF"/>
        </w:rPr>
        <w:t>have been called</w:t>
      </w:r>
      <w:r w:rsidR="008538A7" w:rsidRPr="00676F5B">
        <w:rPr>
          <w:rFonts w:ascii="Times New Roman" w:hAnsi="Times New Roman" w:cs="Times New Roman"/>
          <w:shd w:val="clear" w:color="auto" w:fill="FFFFFF"/>
        </w:rPr>
        <w:t xml:space="preserve"> “magic bullets” and </w:t>
      </w:r>
      <w:r w:rsidR="00223130" w:rsidRPr="00676F5B">
        <w:rPr>
          <w:rFonts w:ascii="Times New Roman" w:eastAsiaTheme="minorHAnsi" w:hAnsi="Times New Roman" w:cs="Times New Roman"/>
        </w:rPr>
        <w:t xml:space="preserve">consist of </w:t>
      </w:r>
      <w:r w:rsidR="009D7D15" w:rsidRPr="00676F5B">
        <w:rPr>
          <w:rFonts w:ascii="Times New Roman" w:eastAsiaTheme="minorHAnsi" w:hAnsi="Times New Roman" w:cs="Times New Roman"/>
        </w:rPr>
        <w:t xml:space="preserve">a cytotoxic drug (cytotoxic payload) </w:t>
      </w:r>
      <w:r w:rsidR="00223130" w:rsidRPr="00676F5B">
        <w:rPr>
          <w:rFonts w:ascii="Times New Roman" w:eastAsiaTheme="minorHAnsi" w:hAnsi="Times New Roman" w:cs="Times New Roman"/>
        </w:rPr>
        <w:t>linked</w:t>
      </w:r>
      <w:r w:rsidR="009D7D15" w:rsidRPr="00676F5B">
        <w:rPr>
          <w:rFonts w:ascii="Times New Roman" w:eastAsiaTheme="minorHAnsi" w:hAnsi="Times New Roman" w:cs="Times New Roman"/>
        </w:rPr>
        <w:t xml:space="preserve"> to a monoclonal antibody </w:t>
      </w:r>
      <w:r w:rsidR="009B3FC9" w:rsidRPr="00676F5B">
        <w:rPr>
          <w:rFonts w:ascii="Times New Roman" w:eastAsiaTheme="minorHAnsi" w:hAnsi="Times New Roman" w:cs="Times New Roman"/>
        </w:rPr>
        <w:t>(</w:t>
      </w:r>
      <w:proofErr w:type="spellStart"/>
      <w:r w:rsidR="009B3FC9" w:rsidRPr="00676F5B">
        <w:rPr>
          <w:rFonts w:ascii="Times New Roman" w:eastAsiaTheme="minorHAnsi" w:hAnsi="Times New Roman" w:cs="Times New Roman"/>
        </w:rPr>
        <w:t>mAb</w:t>
      </w:r>
      <w:proofErr w:type="spellEnd"/>
      <w:r w:rsidR="009B3FC9" w:rsidRPr="00676F5B">
        <w:rPr>
          <w:rFonts w:ascii="Times New Roman" w:eastAsiaTheme="minorHAnsi" w:hAnsi="Times New Roman" w:cs="Times New Roman"/>
        </w:rPr>
        <w:t xml:space="preserve">) </w:t>
      </w:r>
      <w:r w:rsidR="00223130" w:rsidRPr="00676F5B">
        <w:rPr>
          <w:rFonts w:ascii="Times New Roman" w:eastAsiaTheme="minorHAnsi" w:hAnsi="Times New Roman" w:cs="Times New Roman"/>
        </w:rPr>
        <w:t>that</w:t>
      </w:r>
      <w:r w:rsidR="009D7D15" w:rsidRPr="00676F5B">
        <w:rPr>
          <w:rFonts w:ascii="Times New Roman" w:eastAsiaTheme="minorHAnsi" w:hAnsi="Times New Roman" w:cs="Times New Roman"/>
        </w:rPr>
        <w:t xml:space="preserve"> specifically recognizes a </w:t>
      </w:r>
      <w:r w:rsidR="00223130" w:rsidRPr="00676F5B">
        <w:rPr>
          <w:rFonts w:ascii="Times New Roman" w:eastAsiaTheme="minorHAnsi" w:hAnsi="Times New Roman" w:cs="Times New Roman"/>
        </w:rPr>
        <w:t>surface antigen unique to tumor cells.</w:t>
      </w:r>
      <w:r w:rsidR="001E743B" w:rsidRPr="00676F5B">
        <w:rPr>
          <w:rFonts w:ascii="Times New Roman" w:eastAsiaTheme="minorHAnsi" w:hAnsi="Times New Roman" w:cs="Times New Roman"/>
        </w:rPr>
        <w:t xml:space="preserve"> When administered </w:t>
      </w:r>
      <w:r w:rsidR="007C5625" w:rsidRPr="00676F5B">
        <w:rPr>
          <w:rFonts w:ascii="Times New Roman" w:eastAsiaTheme="minorHAnsi" w:hAnsi="Times New Roman" w:cs="Times New Roman"/>
        </w:rPr>
        <w:t xml:space="preserve">to </w:t>
      </w:r>
      <w:r w:rsidR="001E743B" w:rsidRPr="00676F5B">
        <w:rPr>
          <w:rFonts w:ascii="Times New Roman" w:eastAsiaTheme="minorHAnsi" w:hAnsi="Times New Roman" w:cs="Times New Roman"/>
        </w:rPr>
        <w:t xml:space="preserve">the </w:t>
      </w:r>
      <w:r w:rsidR="006D633D" w:rsidRPr="00676F5B">
        <w:rPr>
          <w:rFonts w:ascii="Times New Roman" w:eastAsiaTheme="minorHAnsi" w:hAnsi="Times New Roman" w:cs="Times New Roman"/>
        </w:rPr>
        <w:t xml:space="preserve">patient </w:t>
      </w:r>
      <w:r w:rsidR="007C5625" w:rsidRPr="00676F5B">
        <w:rPr>
          <w:rFonts w:ascii="Times New Roman" w:eastAsiaTheme="minorHAnsi" w:hAnsi="Times New Roman" w:cs="Times New Roman"/>
        </w:rPr>
        <w:t xml:space="preserve">an </w:t>
      </w:r>
      <w:r w:rsidR="001E743B" w:rsidRPr="00676F5B">
        <w:rPr>
          <w:rFonts w:ascii="Times New Roman" w:eastAsiaTheme="minorHAnsi" w:hAnsi="Times New Roman" w:cs="Times New Roman"/>
        </w:rPr>
        <w:t>ADC</w:t>
      </w:r>
      <w:r w:rsidR="007C5625" w:rsidRPr="00676F5B">
        <w:rPr>
          <w:rFonts w:ascii="Times New Roman" w:eastAsiaTheme="minorHAnsi" w:hAnsi="Times New Roman" w:cs="Times New Roman"/>
        </w:rPr>
        <w:t xml:space="preserve"> will</w:t>
      </w:r>
      <w:r w:rsidR="001E743B" w:rsidRPr="00676F5B">
        <w:rPr>
          <w:rFonts w:ascii="Times New Roman" w:eastAsiaTheme="minorHAnsi" w:hAnsi="Times New Roman" w:cs="Times New Roman"/>
        </w:rPr>
        <w:t xml:space="preserve"> seek out tumor cells uniquely expressing </w:t>
      </w:r>
      <w:r w:rsidR="007C5625" w:rsidRPr="00676F5B">
        <w:rPr>
          <w:rFonts w:ascii="Times New Roman" w:eastAsiaTheme="minorHAnsi" w:hAnsi="Times New Roman" w:cs="Times New Roman"/>
        </w:rPr>
        <w:t xml:space="preserve">the tumor-specific antigen and </w:t>
      </w:r>
      <w:r w:rsidR="009D7D15" w:rsidRPr="00676F5B">
        <w:rPr>
          <w:rFonts w:ascii="Times New Roman" w:eastAsiaTheme="minorHAnsi" w:hAnsi="Times New Roman" w:cs="Times New Roman"/>
        </w:rPr>
        <w:t xml:space="preserve">deliver </w:t>
      </w:r>
      <w:r w:rsidR="00891C02" w:rsidRPr="00676F5B">
        <w:rPr>
          <w:rFonts w:ascii="Times New Roman" w:eastAsiaTheme="minorHAnsi" w:hAnsi="Times New Roman" w:cs="Times New Roman"/>
        </w:rPr>
        <w:t>its</w:t>
      </w:r>
      <w:r w:rsidR="007C5625" w:rsidRPr="00676F5B">
        <w:rPr>
          <w:rFonts w:ascii="Times New Roman" w:eastAsiaTheme="minorHAnsi" w:hAnsi="Times New Roman" w:cs="Times New Roman"/>
        </w:rPr>
        <w:t xml:space="preserve"> </w:t>
      </w:r>
      <w:r w:rsidR="009D7D15" w:rsidRPr="00676F5B">
        <w:rPr>
          <w:rFonts w:ascii="Times New Roman" w:eastAsiaTheme="minorHAnsi" w:hAnsi="Times New Roman" w:cs="Times New Roman"/>
        </w:rPr>
        <w:t xml:space="preserve">toxic payload </w:t>
      </w:r>
      <w:r w:rsidR="00C6739B" w:rsidRPr="00676F5B">
        <w:rPr>
          <w:rFonts w:ascii="Times New Roman" w:eastAsiaTheme="minorHAnsi" w:hAnsi="Times New Roman" w:cs="Times New Roman"/>
        </w:rPr>
        <w:t xml:space="preserve">directly to tumor cells </w:t>
      </w:r>
      <w:r w:rsidR="009D7D15" w:rsidRPr="00676F5B">
        <w:rPr>
          <w:rFonts w:ascii="Times New Roman" w:eastAsiaTheme="minorHAnsi" w:hAnsi="Times New Roman" w:cs="Times New Roman"/>
        </w:rPr>
        <w:t xml:space="preserve">at the tumor site, improving efficacy of chemotherapy </w:t>
      </w:r>
      <w:r w:rsidR="009B3FC9" w:rsidRPr="00676F5B">
        <w:rPr>
          <w:rFonts w:ascii="Times New Roman" w:eastAsiaTheme="minorHAnsi" w:hAnsi="Times New Roman" w:cs="Times New Roman"/>
        </w:rPr>
        <w:t>while</w:t>
      </w:r>
      <w:r w:rsidR="009D7D15" w:rsidRPr="00676F5B">
        <w:rPr>
          <w:rFonts w:ascii="Times New Roman" w:eastAsiaTheme="minorHAnsi" w:hAnsi="Times New Roman" w:cs="Times New Roman"/>
        </w:rPr>
        <w:t xml:space="preserve"> reducing systemic exposure and toxicity</w:t>
      </w:r>
      <w:r w:rsidR="00544CC4">
        <w:rPr>
          <w:rFonts w:ascii="Times New Roman" w:eastAsiaTheme="minorHAnsi" w:hAnsi="Times New Roman" w:cs="Times New Roman"/>
        </w:rPr>
        <w:t xml:space="preserve"> </w:t>
      </w:r>
      <w:r w:rsidR="009D7D15" w:rsidRPr="00676F5B">
        <w:rPr>
          <w:rFonts w:ascii="Times New Roman" w:hAnsi="Times New Roman" w:cs="Times New Roman"/>
        </w:rPr>
        <w:t>(</w:t>
      </w:r>
      <w:r w:rsidR="00544CC4">
        <w:rPr>
          <w:rFonts w:ascii="Times New Roman" w:hAnsi="Times New Roman" w:cs="Times New Roman"/>
        </w:rPr>
        <w:t>ref</w:t>
      </w:r>
      <w:r w:rsidR="009D7D15" w:rsidRPr="00676F5B">
        <w:rPr>
          <w:rFonts w:ascii="Times New Roman" w:hAnsi="Times New Roman" w:cs="Times New Roman"/>
        </w:rPr>
        <w:t>1).</w:t>
      </w:r>
      <w:r w:rsidR="002C2B6F" w:rsidRPr="00676F5B">
        <w:rPr>
          <w:rFonts w:ascii="Times New Roman" w:hAnsi="Times New Roman" w:cs="Times New Roman"/>
        </w:rPr>
        <w:t xml:space="preserve"> </w:t>
      </w:r>
      <w:r w:rsidR="00640C99" w:rsidRPr="00676F5B">
        <w:rPr>
          <w:rFonts w:ascii="Times New Roman" w:hAnsi="Times New Roman" w:cs="Times New Roman"/>
        </w:rPr>
        <w:t xml:space="preserve">Since the first ADC, Mylotarg® (gemtuzumab ozogamicin), was approved in 2000 by the US Food and Drug Administration (FDA), 14 </w:t>
      </w:r>
      <w:r w:rsidR="000737BC" w:rsidRPr="00676F5B">
        <w:rPr>
          <w:rFonts w:ascii="Times New Roman" w:hAnsi="Times New Roman" w:cs="Times New Roman"/>
        </w:rPr>
        <w:t xml:space="preserve">have </w:t>
      </w:r>
      <w:r w:rsidR="00640C99" w:rsidRPr="00676F5B">
        <w:rPr>
          <w:rFonts w:ascii="Times New Roman" w:hAnsi="Times New Roman" w:cs="Times New Roman"/>
        </w:rPr>
        <w:t xml:space="preserve">received market approval </w:t>
      </w:r>
      <w:r w:rsidR="000737BC" w:rsidRPr="00676F5B">
        <w:rPr>
          <w:rFonts w:ascii="Times New Roman" w:hAnsi="Times New Roman" w:cs="Times New Roman"/>
        </w:rPr>
        <w:t>with</w:t>
      </w:r>
      <w:r w:rsidR="00640C99" w:rsidRPr="00676F5B">
        <w:rPr>
          <w:rFonts w:ascii="Times New Roman" w:hAnsi="Times New Roman" w:cs="Times New Roman"/>
        </w:rPr>
        <w:t xml:space="preserve"> over 100 candidates investigated in </w:t>
      </w:r>
      <w:r w:rsidR="000737BC" w:rsidRPr="00676F5B">
        <w:rPr>
          <w:rFonts w:ascii="Times New Roman" w:hAnsi="Times New Roman" w:cs="Times New Roman"/>
        </w:rPr>
        <w:t xml:space="preserve">various </w:t>
      </w:r>
      <w:r w:rsidR="00640C99" w:rsidRPr="00676F5B">
        <w:rPr>
          <w:rFonts w:ascii="Times New Roman" w:hAnsi="Times New Roman" w:cs="Times New Roman"/>
        </w:rPr>
        <w:t>clinical stages</w:t>
      </w:r>
      <w:r w:rsidR="00544CC4">
        <w:rPr>
          <w:rFonts w:ascii="Times New Roman" w:hAnsi="Times New Roman" w:cs="Times New Roman"/>
        </w:rPr>
        <w:t xml:space="preserve"> </w:t>
      </w:r>
      <w:r w:rsidR="002C2B6F" w:rsidRPr="00676F5B">
        <w:rPr>
          <w:rFonts w:ascii="Times New Roman" w:hAnsi="Times New Roman" w:cs="Times New Roman"/>
        </w:rPr>
        <w:t>(</w:t>
      </w:r>
      <w:r w:rsidR="00544CC4">
        <w:rPr>
          <w:rFonts w:ascii="Times New Roman" w:hAnsi="Times New Roman" w:cs="Times New Roman"/>
        </w:rPr>
        <w:t xml:space="preserve">ref </w:t>
      </w:r>
      <w:r w:rsidR="002C2B6F" w:rsidRPr="00676F5B">
        <w:rPr>
          <w:rFonts w:ascii="Times New Roman" w:hAnsi="Times New Roman" w:cs="Times New Roman"/>
        </w:rPr>
        <w:t>2).</w:t>
      </w:r>
    </w:p>
    <w:p w14:paraId="67C838EF" w14:textId="1C5083D5" w:rsidR="00E062AB" w:rsidRPr="00676F5B" w:rsidRDefault="00E062AB" w:rsidP="00E062AB">
      <w:pPr>
        <w:ind w:left="-360" w:right="-360"/>
        <w:jc w:val="both"/>
        <w:rPr>
          <w:rFonts w:ascii="Times New Roman" w:hAnsi="Times New Roman" w:cs="Times New Roman"/>
          <w:shd w:val="clear" w:color="auto" w:fill="FFFFFF"/>
        </w:rPr>
      </w:pPr>
    </w:p>
    <w:p w14:paraId="0008BF5E" w14:textId="1F904A1A" w:rsidR="00442A99" w:rsidRDefault="00442A99" w:rsidP="00442A99">
      <w:pPr>
        <w:ind w:left="-360" w:right="-360"/>
        <w:jc w:val="both"/>
        <w:rPr>
          <w:rFonts w:ascii="Times New Roman" w:hAnsi="Times New Roman" w:cs="Times New Roman"/>
          <w:shd w:val="clear" w:color="auto" w:fill="FFFFFF"/>
        </w:rPr>
      </w:pPr>
      <w:r w:rsidRPr="00676F5B">
        <w:rPr>
          <w:rFonts w:ascii="Times New Roman" w:hAnsi="Times New Roman" w:cs="Times New Roman"/>
          <w:shd w:val="clear" w:color="auto" w:fill="FFFFFF"/>
        </w:rPr>
        <w:t>A multitude of highly-specific monoclonal Abs to tumor-specific antigens have been developed and are currently in use for ADCs. Currently, most ADCs are constructed with two main families of highly toxic compounds acting either on microtubules or DNA structure. The most widely used drugs for ADC</w:t>
      </w:r>
      <w:r>
        <w:rPr>
          <w:rFonts w:ascii="Times New Roman" w:hAnsi="Times New Roman" w:cs="Times New Roman"/>
          <w:shd w:val="clear" w:color="auto" w:fill="FFFFFF"/>
        </w:rPr>
        <w:t xml:space="preserve"> </w:t>
      </w:r>
      <w:r w:rsidRPr="00676F5B">
        <w:rPr>
          <w:rFonts w:ascii="Times New Roman" w:hAnsi="Times New Roman" w:cs="Times New Roman"/>
          <w:shd w:val="clear" w:color="auto" w:fill="FFFFFF"/>
        </w:rPr>
        <w:t>formulation comprise microtubule-inhibiting agents such as taxanes which target the tubulin class of proteins to disrupt microtubule formation</w:t>
      </w:r>
      <w:r>
        <w:rPr>
          <w:rFonts w:ascii="Times New Roman" w:hAnsi="Times New Roman" w:cs="Times New Roman"/>
          <w:shd w:val="clear" w:color="auto" w:fill="FFFFFF"/>
        </w:rPr>
        <w:t>. D</w:t>
      </w:r>
      <w:r w:rsidRPr="00676F5B">
        <w:rPr>
          <w:rFonts w:ascii="Times New Roman" w:hAnsi="Times New Roman" w:cs="Times New Roman"/>
          <w:shd w:val="clear" w:color="auto" w:fill="FFFFFF"/>
        </w:rPr>
        <w:t xml:space="preserve">rugs that target DNA structure such as </w:t>
      </w:r>
      <w:r w:rsidRPr="00676F5B">
        <w:rPr>
          <w:rStyle w:val="hgkelc"/>
          <w:rFonts w:ascii="Times New Roman" w:hAnsi="Times New Roman" w:cs="Times New Roman"/>
          <w:lang w:val="en"/>
        </w:rPr>
        <w:t>irinotecan</w:t>
      </w:r>
      <w:r w:rsidRPr="00676F5B">
        <w:rPr>
          <w:rFonts w:ascii="Times New Roman" w:hAnsi="Times New Roman" w:cs="Times New Roman"/>
          <w:shd w:val="clear" w:color="auto" w:fill="FFFFFF"/>
        </w:rPr>
        <w:t xml:space="preserve"> and doxorubicin </w:t>
      </w:r>
      <w:r>
        <w:rPr>
          <w:rFonts w:ascii="Times New Roman" w:hAnsi="Times New Roman" w:cs="Times New Roman"/>
          <w:shd w:val="clear" w:color="auto" w:fill="FFFFFF"/>
        </w:rPr>
        <w:t xml:space="preserve">which target </w:t>
      </w:r>
      <w:r w:rsidRPr="00676F5B">
        <w:rPr>
          <w:rFonts w:ascii="Times New Roman" w:hAnsi="Times New Roman" w:cs="Times New Roman"/>
          <w:shd w:val="clear" w:color="auto" w:fill="FFFFFF"/>
        </w:rPr>
        <w:t>topoisomerase activity to inhibit DNA synthesis</w:t>
      </w:r>
      <w:r>
        <w:rPr>
          <w:rFonts w:ascii="Times New Roman" w:hAnsi="Times New Roman" w:cs="Times New Roman"/>
          <w:shd w:val="clear" w:color="auto" w:fill="FFFFFF"/>
        </w:rPr>
        <w:t xml:space="preserve"> are also gaining wide acceptance</w:t>
      </w:r>
      <w:r w:rsidRPr="00676F5B">
        <w:rPr>
          <w:rFonts w:ascii="Times New Roman" w:hAnsi="Times New Roman" w:cs="Times New Roman"/>
          <w:shd w:val="clear" w:color="auto" w:fill="FFFFFF"/>
        </w:rPr>
        <w:t>. The choice of tubulin inhibitors and disruptors of DNA synthesis as payloads is appropriate since rapid cellular proliferation is one of the major discriminating features between cancerous and normal cells.</w:t>
      </w:r>
    </w:p>
    <w:p w14:paraId="6C7F71CF" w14:textId="77777777" w:rsidR="00442A99" w:rsidRDefault="00442A99" w:rsidP="00164F18">
      <w:pPr>
        <w:ind w:left="-360" w:right="-360"/>
        <w:jc w:val="both"/>
        <w:rPr>
          <w:rFonts w:ascii="Times New Roman" w:hAnsi="Times New Roman" w:cs="Times New Roman"/>
          <w:shd w:val="clear" w:color="auto" w:fill="FFFFFF"/>
        </w:rPr>
      </w:pPr>
    </w:p>
    <w:p w14:paraId="0ED57E6B" w14:textId="3978A962" w:rsidR="00164F18" w:rsidRDefault="005221D3" w:rsidP="00442A99">
      <w:pPr>
        <w:ind w:left="-360" w:right="-360"/>
        <w:jc w:val="both"/>
        <w:rPr>
          <w:rFonts w:ascii="Times New Roman" w:hAnsi="Times New Roman" w:cs="Times New Roman"/>
          <w:shd w:val="clear" w:color="auto" w:fill="FFFFFF"/>
        </w:rPr>
      </w:pPr>
      <w:r>
        <w:rPr>
          <w:rFonts w:ascii="Times New Roman" w:hAnsi="Times New Roman" w:cs="Times New Roman"/>
          <w:shd w:val="clear" w:color="auto" w:fill="FFFFFF"/>
        </w:rPr>
        <w:t>Based on t</w:t>
      </w:r>
      <w:r w:rsidR="00164F18" w:rsidRPr="00676F5B">
        <w:rPr>
          <w:rFonts w:ascii="Times New Roman" w:hAnsi="Times New Roman" w:cs="Times New Roman"/>
          <w:shd w:val="clear" w:color="auto" w:fill="FFFFFF"/>
        </w:rPr>
        <w:t>he formulation of ADCs</w:t>
      </w:r>
      <w:r>
        <w:rPr>
          <w:rFonts w:ascii="Times New Roman" w:hAnsi="Times New Roman" w:cs="Times New Roman"/>
          <w:shd w:val="clear" w:color="auto" w:fill="FFFFFF"/>
        </w:rPr>
        <w:t>, it is imperative</w:t>
      </w:r>
      <w:r w:rsidR="00164F18" w:rsidRPr="00676F5B">
        <w:rPr>
          <w:rFonts w:ascii="Times New Roman" w:hAnsi="Times New Roman" w:cs="Times New Roman"/>
          <w:shd w:val="clear" w:color="auto" w:fill="FFFFFF"/>
        </w:rPr>
        <w:t xml:space="preserve"> that expression of both a tumor-specific antigen and cellular </w:t>
      </w:r>
      <w:r w:rsidR="00A97B8D">
        <w:rPr>
          <w:rFonts w:ascii="Times New Roman" w:hAnsi="Times New Roman" w:cs="Times New Roman"/>
          <w:shd w:val="clear" w:color="auto" w:fill="FFFFFF"/>
        </w:rPr>
        <w:t xml:space="preserve">protein </w:t>
      </w:r>
      <w:r w:rsidR="00164F18" w:rsidRPr="00676F5B">
        <w:rPr>
          <w:rFonts w:ascii="Times New Roman" w:hAnsi="Times New Roman" w:cs="Times New Roman"/>
          <w:shd w:val="clear" w:color="auto" w:fill="FFFFFF"/>
        </w:rPr>
        <w:t xml:space="preserve">targets of </w:t>
      </w:r>
      <w:r w:rsidR="00164F18">
        <w:rPr>
          <w:rFonts w:ascii="Times New Roman" w:hAnsi="Times New Roman" w:cs="Times New Roman"/>
          <w:shd w:val="clear" w:color="auto" w:fill="FFFFFF"/>
        </w:rPr>
        <w:t>a chemotoxic payload</w:t>
      </w:r>
      <w:r w:rsidR="00164F18" w:rsidRPr="00676F5B">
        <w:rPr>
          <w:rFonts w:ascii="Times New Roman" w:hAnsi="Times New Roman" w:cs="Times New Roman"/>
          <w:shd w:val="clear" w:color="auto" w:fill="FFFFFF"/>
        </w:rPr>
        <w:t xml:space="preserve"> be </w:t>
      </w:r>
      <w:r w:rsidR="00164F18">
        <w:rPr>
          <w:rFonts w:ascii="Times New Roman" w:hAnsi="Times New Roman" w:cs="Times New Roman"/>
          <w:shd w:val="clear" w:color="auto" w:fill="FFFFFF"/>
        </w:rPr>
        <w:t>demonstrated</w:t>
      </w:r>
      <w:r w:rsidR="00164F18" w:rsidRPr="00676F5B">
        <w:rPr>
          <w:rFonts w:ascii="Times New Roman" w:hAnsi="Times New Roman" w:cs="Times New Roman"/>
          <w:shd w:val="clear" w:color="auto" w:fill="FFFFFF"/>
        </w:rPr>
        <w:t xml:space="preserve"> in the same tumor cells for </w:t>
      </w:r>
      <w:r w:rsidR="00164F18">
        <w:rPr>
          <w:rFonts w:ascii="Times New Roman" w:hAnsi="Times New Roman" w:cs="Times New Roman"/>
          <w:shd w:val="clear" w:color="auto" w:fill="FFFFFF"/>
        </w:rPr>
        <w:t xml:space="preserve">optimal patient </w:t>
      </w:r>
      <w:r w:rsidR="00164F18" w:rsidRPr="00676F5B">
        <w:rPr>
          <w:rFonts w:ascii="Times New Roman" w:hAnsi="Times New Roman" w:cs="Times New Roman"/>
          <w:shd w:val="clear" w:color="auto" w:fill="FFFFFF"/>
        </w:rPr>
        <w:t>benefit. This requires interrogating protein expression in patient tumor cells</w:t>
      </w:r>
      <w:r w:rsidR="00164F18">
        <w:rPr>
          <w:rFonts w:ascii="Times New Roman" w:hAnsi="Times New Roman" w:cs="Times New Roman"/>
          <w:shd w:val="clear" w:color="auto" w:fill="FFFFFF"/>
        </w:rPr>
        <w:t>, obtained either through surgical means or biopsy,</w:t>
      </w:r>
      <w:r w:rsidR="00164F18" w:rsidRPr="00676F5B">
        <w:rPr>
          <w:rFonts w:ascii="Times New Roman" w:hAnsi="Times New Roman" w:cs="Times New Roman"/>
          <w:shd w:val="clear" w:color="auto" w:fill="FFFFFF"/>
        </w:rPr>
        <w:t xml:space="preserve"> to match the correct ADC to specific combinations of tumor cell protein expression patterns. This “knowledge” approach to determin</w:t>
      </w:r>
      <w:r w:rsidR="00164F18">
        <w:rPr>
          <w:rFonts w:ascii="Times New Roman" w:hAnsi="Times New Roman" w:cs="Times New Roman"/>
          <w:shd w:val="clear" w:color="auto" w:fill="FFFFFF"/>
        </w:rPr>
        <w:t>e</w:t>
      </w:r>
      <w:r w:rsidR="00164F18" w:rsidRPr="00676F5B">
        <w:rPr>
          <w:rFonts w:ascii="Times New Roman" w:hAnsi="Times New Roman" w:cs="Times New Roman"/>
          <w:shd w:val="clear" w:color="auto" w:fill="FFFFFF"/>
        </w:rPr>
        <w:t xml:space="preserve"> appropriate ADC treatment strateg</w:t>
      </w:r>
      <w:r w:rsidR="00164F18">
        <w:rPr>
          <w:rFonts w:ascii="Times New Roman" w:hAnsi="Times New Roman" w:cs="Times New Roman"/>
          <w:shd w:val="clear" w:color="auto" w:fill="FFFFFF"/>
        </w:rPr>
        <w:t>ies</w:t>
      </w:r>
      <w:r w:rsidR="00164F18" w:rsidRPr="00676F5B">
        <w:rPr>
          <w:rFonts w:ascii="Times New Roman" w:hAnsi="Times New Roman" w:cs="Times New Roman"/>
          <w:shd w:val="clear" w:color="auto" w:fill="FFFFFF"/>
        </w:rPr>
        <w:t xml:space="preserve"> prevents cycling through multiple different chemotherapy drugs resulting in unnecessary toxicity to the patient and loss of valuable time searching for the “right” therapy.</w:t>
      </w:r>
    </w:p>
    <w:p w14:paraId="7DAF92EE" w14:textId="77777777" w:rsidR="00164F18" w:rsidRPr="00676F5B" w:rsidRDefault="00164F18" w:rsidP="00164F18">
      <w:pPr>
        <w:ind w:left="-360" w:right="-360"/>
        <w:jc w:val="both"/>
        <w:rPr>
          <w:rFonts w:ascii="Times New Roman" w:hAnsi="Times New Roman" w:cs="Times New Roman"/>
          <w:shd w:val="clear" w:color="auto" w:fill="FFFFFF"/>
        </w:rPr>
      </w:pPr>
    </w:p>
    <w:p w14:paraId="24FC067E" w14:textId="7B27BF70" w:rsidR="008A477C" w:rsidRDefault="003B63BE" w:rsidP="006104D4">
      <w:pPr>
        <w:ind w:left="-360" w:right="-360"/>
        <w:jc w:val="both"/>
        <w:rPr>
          <w:rFonts w:ascii="Times New Roman" w:hAnsi="Times New Roman" w:cs="Times New Roman"/>
          <w:shd w:val="clear" w:color="auto" w:fill="FFFFFF"/>
        </w:rPr>
      </w:pPr>
      <w:r w:rsidRPr="00676F5B">
        <w:rPr>
          <w:rFonts w:ascii="Times New Roman" w:hAnsi="Times New Roman" w:cs="Times New Roman"/>
          <w:shd w:val="clear" w:color="auto" w:fill="FFFFFF"/>
        </w:rPr>
        <w:t>mProbe</w:t>
      </w:r>
      <w:r w:rsidR="000B1571">
        <w:rPr>
          <w:rFonts w:ascii="Times New Roman" w:hAnsi="Times New Roman" w:cs="Times New Roman"/>
          <w:shd w:val="clear" w:color="auto" w:fill="FFFFFF"/>
        </w:rPr>
        <w:t>’s OncoOmicsDX platform</w:t>
      </w:r>
      <w:r w:rsidR="00F3074C">
        <w:rPr>
          <w:rFonts w:ascii="Times New Roman" w:hAnsi="Times New Roman" w:cs="Times New Roman"/>
          <w:shd w:val="clear" w:color="auto" w:fill="FFFFFF"/>
        </w:rPr>
        <w:t xml:space="preserve"> (</w:t>
      </w:r>
      <w:r w:rsidR="00E357BD">
        <w:rPr>
          <w:rFonts w:ascii="Times New Roman" w:hAnsi="Times New Roman" w:cs="Times New Roman"/>
          <w:shd w:val="clear" w:color="auto" w:fill="FFFFFF"/>
        </w:rPr>
        <w:t>Figure 1</w:t>
      </w:r>
      <w:r w:rsidR="00F3074C">
        <w:rPr>
          <w:rFonts w:ascii="Times New Roman" w:hAnsi="Times New Roman" w:cs="Times New Roman"/>
          <w:shd w:val="clear" w:color="auto" w:fill="FFFFFF"/>
        </w:rPr>
        <w:t>)</w:t>
      </w:r>
      <w:r w:rsidRPr="00676F5B">
        <w:rPr>
          <w:rFonts w:ascii="Times New Roman" w:hAnsi="Times New Roman" w:cs="Times New Roman"/>
          <w:shd w:val="clear" w:color="auto" w:fill="FFFFFF"/>
        </w:rPr>
        <w:t xml:space="preserve"> </w:t>
      </w:r>
      <w:r w:rsidR="00912108">
        <w:rPr>
          <w:rFonts w:ascii="Times New Roman" w:hAnsi="Times New Roman" w:cs="Times New Roman"/>
          <w:shd w:val="clear" w:color="auto" w:fill="FFFFFF"/>
        </w:rPr>
        <w:t xml:space="preserve">provides quantitative protein expression </w:t>
      </w:r>
      <w:r w:rsidR="00982C05">
        <w:rPr>
          <w:rFonts w:ascii="Times New Roman" w:hAnsi="Times New Roman" w:cs="Times New Roman"/>
          <w:shd w:val="clear" w:color="auto" w:fill="FFFFFF"/>
        </w:rPr>
        <w:t xml:space="preserve">in </w:t>
      </w:r>
      <w:r w:rsidR="00912108">
        <w:rPr>
          <w:rFonts w:ascii="Times New Roman" w:hAnsi="Times New Roman" w:cs="Times New Roman"/>
          <w:shd w:val="clear" w:color="auto" w:fill="FFFFFF"/>
        </w:rPr>
        <w:t xml:space="preserve">tumor cells procured </w:t>
      </w:r>
      <w:r w:rsidR="00982C05">
        <w:rPr>
          <w:rFonts w:ascii="Times New Roman" w:hAnsi="Times New Roman" w:cs="Times New Roman"/>
          <w:shd w:val="clear" w:color="auto" w:fill="FFFFFF"/>
        </w:rPr>
        <w:t xml:space="preserve">directly </w:t>
      </w:r>
      <w:r w:rsidR="00912108">
        <w:rPr>
          <w:rFonts w:ascii="Times New Roman" w:hAnsi="Times New Roman" w:cs="Times New Roman"/>
          <w:shd w:val="clear" w:color="auto" w:fill="FFFFFF"/>
        </w:rPr>
        <w:t xml:space="preserve">from </w:t>
      </w:r>
      <w:r w:rsidR="009A393B">
        <w:rPr>
          <w:rFonts w:ascii="Times New Roman" w:hAnsi="Times New Roman" w:cs="Times New Roman"/>
          <w:shd w:val="clear" w:color="auto" w:fill="FFFFFF"/>
        </w:rPr>
        <w:t xml:space="preserve">cancer </w:t>
      </w:r>
      <w:r w:rsidR="00912108">
        <w:rPr>
          <w:rFonts w:ascii="Times New Roman" w:hAnsi="Times New Roman" w:cs="Times New Roman"/>
          <w:shd w:val="clear" w:color="auto" w:fill="FFFFFF"/>
        </w:rPr>
        <w:t>patient tumor tissue</w:t>
      </w:r>
      <w:r w:rsidR="000B1571">
        <w:rPr>
          <w:rFonts w:ascii="Times New Roman" w:hAnsi="Times New Roman" w:cs="Times New Roman"/>
          <w:shd w:val="clear" w:color="auto" w:fill="FFFFFF"/>
        </w:rPr>
        <w:t xml:space="preserve"> and </w:t>
      </w:r>
      <w:r w:rsidR="00982C05">
        <w:rPr>
          <w:rFonts w:ascii="Times New Roman" w:hAnsi="Times New Roman" w:cs="Times New Roman"/>
          <w:shd w:val="clear" w:color="auto" w:fill="FFFFFF"/>
        </w:rPr>
        <w:t xml:space="preserve">is the only CAP-accredited, CLIA-certified </w:t>
      </w:r>
      <w:r w:rsidR="006E6557">
        <w:rPr>
          <w:rFonts w:ascii="Times New Roman" w:hAnsi="Times New Roman" w:cs="Times New Roman"/>
          <w:shd w:val="clear" w:color="auto" w:fill="FFFFFF"/>
        </w:rPr>
        <w:t xml:space="preserve">clinical </w:t>
      </w:r>
      <w:r w:rsidR="00982C05">
        <w:rPr>
          <w:rFonts w:ascii="Times New Roman" w:hAnsi="Times New Roman" w:cs="Times New Roman"/>
          <w:shd w:val="clear" w:color="auto" w:fill="FFFFFF"/>
        </w:rPr>
        <w:t xml:space="preserve">proteomics laboratory </w:t>
      </w:r>
      <w:r w:rsidR="00EB55DF">
        <w:rPr>
          <w:rFonts w:ascii="Times New Roman" w:hAnsi="Times New Roman" w:cs="Times New Roman"/>
          <w:shd w:val="clear" w:color="auto" w:fill="FFFFFF"/>
        </w:rPr>
        <w:t xml:space="preserve">that analyzes </w:t>
      </w:r>
      <w:r w:rsidR="00982C05">
        <w:rPr>
          <w:rFonts w:ascii="Times New Roman" w:hAnsi="Times New Roman" w:cs="Times New Roman"/>
          <w:shd w:val="clear" w:color="auto" w:fill="FFFFFF"/>
        </w:rPr>
        <w:t>formalin fixed paraffin embedded cancer patient tissue</w:t>
      </w:r>
      <w:r w:rsidR="006E6557">
        <w:rPr>
          <w:rFonts w:ascii="Times New Roman" w:hAnsi="Times New Roman" w:cs="Times New Roman"/>
          <w:shd w:val="clear" w:color="auto" w:fill="FFFFFF"/>
        </w:rPr>
        <w:t xml:space="preserve"> using mass spectrometry (MS)</w:t>
      </w:r>
      <w:r w:rsidR="00544CC4">
        <w:rPr>
          <w:rFonts w:ascii="Times New Roman" w:hAnsi="Times New Roman" w:cs="Times New Roman"/>
          <w:shd w:val="clear" w:color="auto" w:fill="FFFFFF"/>
        </w:rPr>
        <w:t xml:space="preserve"> (ref 3)</w:t>
      </w:r>
      <w:r w:rsidR="00982C05">
        <w:rPr>
          <w:rFonts w:ascii="Times New Roman" w:hAnsi="Times New Roman" w:cs="Times New Roman"/>
          <w:shd w:val="clear" w:color="auto" w:fill="FFFFFF"/>
        </w:rPr>
        <w:t>.</w:t>
      </w:r>
      <w:r w:rsidR="006E6557">
        <w:rPr>
          <w:rFonts w:ascii="Times New Roman" w:hAnsi="Times New Roman" w:cs="Times New Roman"/>
          <w:shd w:val="clear" w:color="auto" w:fill="FFFFFF"/>
        </w:rPr>
        <w:t xml:space="preserve"> </w:t>
      </w:r>
      <w:r w:rsidR="006104D4" w:rsidRPr="00676F5B">
        <w:rPr>
          <w:rFonts w:ascii="Times New Roman" w:hAnsi="Times New Roman" w:cs="Times New Roman"/>
        </w:rPr>
        <w:t xml:space="preserve">We detect and quantify expression of tumor-specific antigens, chemo-resistant </w:t>
      </w:r>
      <w:r w:rsidR="00A97B8D">
        <w:rPr>
          <w:rFonts w:ascii="Times New Roman" w:hAnsi="Times New Roman" w:cs="Times New Roman"/>
        </w:rPr>
        <w:t xml:space="preserve">protein markers, </w:t>
      </w:r>
      <w:r w:rsidR="006104D4" w:rsidRPr="00676F5B">
        <w:rPr>
          <w:rFonts w:ascii="Times New Roman" w:hAnsi="Times New Roman" w:cs="Times New Roman"/>
        </w:rPr>
        <w:t xml:space="preserve">chemo-response protein markers, prognostic protein markers, and clinical trial markers. Our technology is </w:t>
      </w:r>
      <w:r w:rsidR="006E6557">
        <w:rPr>
          <w:rFonts w:ascii="Times New Roman" w:hAnsi="Times New Roman" w:cs="Times New Roman"/>
          <w:shd w:val="clear" w:color="auto" w:fill="FFFFFF"/>
        </w:rPr>
        <w:t xml:space="preserve">covered by </w:t>
      </w:r>
      <w:r w:rsidR="00912108" w:rsidRPr="00912108">
        <w:rPr>
          <w:rFonts w:ascii="Times New Roman" w:hAnsi="Times New Roman" w:cs="Times New Roman"/>
          <w:shd w:val="clear" w:color="auto" w:fill="FFFFFF"/>
        </w:rPr>
        <w:t>40+ patents</w:t>
      </w:r>
      <w:r w:rsidR="006E6557">
        <w:rPr>
          <w:rFonts w:ascii="Times New Roman" w:hAnsi="Times New Roman" w:cs="Times New Roman"/>
          <w:shd w:val="clear" w:color="auto" w:fill="FFFFFF"/>
        </w:rPr>
        <w:t xml:space="preserve"> and </w:t>
      </w:r>
      <w:r w:rsidR="00912108" w:rsidRPr="00912108">
        <w:rPr>
          <w:rFonts w:ascii="Times New Roman" w:hAnsi="Times New Roman" w:cs="Times New Roman"/>
          <w:shd w:val="clear" w:color="auto" w:fill="FFFFFF"/>
        </w:rPr>
        <w:t>30+ peer reviewed publications</w:t>
      </w:r>
      <w:r w:rsidR="006E6557">
        <w:rPr>
          <w:rFonts w:ascii="Times New Roman" w:hAnsi="Times New Roman" w:cs="Times New Roman"/>
          <w:shd w:val="clear" w:color="auto" w:fill="FFFFFF"/>
        </w:rPr>
        <w:t>.</w:t>
      </w:r>
    </w:p>
    <w:p w14:paraId="3A4CBC4D" w14:textId="40101E6C" w:rsidR="008A477C" w:rsidRDefault="008A477C" w:rsidP="006104D4">
      <w:pPr>
        <w:ind w:left="-360" w:right="-360"/>
        <w:jc w:val="both"/>
        <w:rPr>
          <w:rFonts w:ascii="Times New Roman" w:hAnsi="Times New Roman" w:cs="Times New Roman"/>
          <w:shd w:val="clear" w:color="auto" w:fill="FFFFFF"/>
        </w:rPr>
      </w:pPr>
    </w:p>
    <w:p w14:paraId="792D15E2" w14:textId="6A7CD69A" w:rsidR="00A97B8D" w:rsidRDefault="00A97B8D" w:rsidP="009C02E1">
      <w:pPr>
        <w:ind w:left="-360" w:right="-360"/>
        <w:jc w:val="both"/>
        <w:rPr>
          <w:rFonts w:ascii="Times New Roman" w:hAnsi="Times New Roman" w:cs="Times New Roman"/>
          <w:shd w:val="clear" w:color="auto" w:fill="FFFFFF"/>
        </w:rPr>
      </w:pPr>
      <w:r w:rsidRPr="000132E3">
        <w:rPr>
          <w:rFonts w:ascii="Times New Roman" w:hAnsi="Times New Roman" w:cs="Times New Roman"/>
          <w:noProof/>
          <w:shd w:val="clear" w:color="auto" w:fill="FFFFFF"/>
        </w:rPr>
        <w:drawing>
          <wp:anchor distT="0" distB="0" distL="114300" distR="114300" simplePos="0" relativeHeight="251696128" behindDoc="0" locked="0" layoutInCell="1" allowOverlap="1" wp14:anchorId="083042B4" wp14:editId="7D3AA7BE">
            <wp:simplePos x="0" y="0"/>
            <wp:positionH relativeFrom="column">
              <wp:posOffset>-229235</wp:posOffset>
            </wp:positionH>
            <wp:positionV relativeFrom="paragraph">
              <wp:posOffset>224790</wp:posOffset>
            </wp:positionV>
            <wp:extent cx="6430645" cy="1076325"/>
            <wp:effectExtent l="0" t="0" r="0" b="0"/>
            <wp:wrapTopAndBottom/>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0645" cy="10763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hd w:val="clear" w:color="auto" w:fill="FFFFFF"/>
        </w:rPr>
        <w:t>Figure 1</w:t>
      </w:r>
    </w:p>
    <w:p w14:paraId="7F0018E8" w14:textId="77777777" w:rsidR="009C02E1" w:rsidRDefault="009C02E1" w:rsidP="005221D3">
      <w:pPr>
        <w:ind w:left="-360" w:right="-360"/>
        <w:jc w:val="both"/>
        <w:rPr>
          <w:rFonts w:ascii="Times New Roman" w:hAnsi="Times New Roman" w:cs="Times New Roman"/>
          <w:shd w:val="clear" w:color="auto" w:fill="FFFFFF"/>
        </w:rPr>
      </w:pPr>
    </w:p>
    <w:p w14:paraId="41C7251B" w14:textId="77777777" w:rsidR="009C02E1" w:rsidRDefault="009C02E1" w:rsidP="005221D3">
      <w:pPr>
        <w:ind w:left="-360" w:right="-360"/>
        <w:jc w:val="both"/>
        <w:rPr>
          <w:rFonts w:ascii="Times New Roman" w:hAnsi="Times New Roman" w:cs="Times New Roman"/>
          <w:shd w:val="clear" w:color="auto" w:fill="FFFFFF"/>
        </w:rPr>
      </w:pPr>
    </w:p>
    <w:p w14:paraId="19669D5B" w14:textId="486D6B11" w:rsidR="00AE266E" w:rsidRDefault="000B1571" w:rsidP="005221D3">
      <w:pPr>
        <w:ind w:left="-360" w:right="-360"/>
        <w:jc w:val="both"/>
        <w:rPr>
          <w:rStyle w:val="hgkelc"/>
          <w:rFonts w:ascii="Times New Roman" w:hAnsi="Times New Roman" w:cs="Times New Roman"/>
          <w:lang w:val="en"/>
        </w:rPr>
      </w:pPr>
      <w:r>
        <w:rPr>
          <w:rFonts w:ascii="Times New Roman" w:hAnsi="Times New Roman" w:cs="Times New Roman"/>
          <w:shd w:val="clear" w:color="auto" w:fill="FFFFFF"/>
        </w:rPr>
        <w:lastRenderedPageBreak/>
        <w:t xml:space="preserve">Currently, mProbe </w:t>
      </w:r>
      <w:r w:rsidR="00A97B8D">
        <w:rPr>
          <w:rFonts w:ascii="Times New Roman" w:hAnsi="Times New Roman" w:cs="Times New Roman"/>
          <w:shd w:val="clear" w:color="auto" w:fill="FFFFFF"/>
        </w:rPr>
        <w:t xml:space="preserve">routinely </w:t>
      </w:r>
      <w:r>
        <w:rPr>
          <w:rFonts w:ascii="Times New Roman" w:hAnsi="Times New Roman" w:cs="Times New Roman"/>
          <w:shd w:val="clear" w:color="auto" w:fill="FFFFFF"/>
        </w:rPr>
        <w:t xml:space="preserve">provides clinical evaluation of </w:t>
      </w:r>
      <w:r w:rsidR="00A62DB5">
        <w:rPr>
          <w:rFonts w:ascii="Times New Roman" w:hAnsi="Times New Roman" w:cs="Times New Roman"/>
          <w:shd w:val="clear" w:color="auto" w:fill="FFFFFF"/>
        </w:rPr>
        <w:t>70+</w:t>
      </w:r>
      <w:r>
        <w:rPr>
          <w:rFonts w:ascii="Times New Roman" w:hAnsi="Times New Roman" w:cs="Times New Roman"/>
          <w:shd w:val="clear" w:color="auto" w:fill="FFFFFF"/>
        </w:rPr>
        <w:t xml:space="preserve"> target proteins directly in FFPE patient tissue </w:t>
      </w:r>
      <w:r w:rsidR="006104D4">
        <w:rPr>
          <w:rFonts w:ascii="Times New Roman" w:hAnsi="Times New Roman" w:cs="Times New Roman"/>
          <w:shd w:val="clear" w:color="auto" w:fill="FFFFFF"/>
        </w:rPr>
        <w:t xml:space="preserve">and </w:t>
      </w:r>
      <w:r w:rsidR="00A97B8D">
        <w:rPr>
          <w:rFonts w:ascii="Times New Roman" w:hAnsi="Times New Roman" w:cs="Times New Roman"/>
          <w:shd w:val="clear" w:color="auto" w:fill="FFFFFF"/>
        </w:rPr>
        <w:t>can evaluate</w:t>
      </w:r>
      <w:r w:rsidR="00CC0E9C" w:rsidRPr="00676F5B">
        <w:rPr>
          <w:rFonts w:ascii="Times New Roman" w:hAnsi="Times New Roman" w:cs="Times New Roman"/>
          <w:shd w:val="clear" w:color="auto" w:fill="FFFFFF"/>
        </w:rPr>
        <w:t xml:space="preserve"> critical</w:t>
      </w:r>
      <w:r w:rsidR="00997072">
        <w:rPr>
          <w:rFonts w:ascii="Times New Roman" w:hAnsi="Times New Roman" w:cs="Times New Roman"/>
          <w:shd w:val="clear" w:color="auto" w:fill="FFFFFF"/>
        </w:rPr>
        <w:t>ly important information</w:t>
      </w:r>
      <w:r w:rsidR="00CC0E9C" w:rsidRPr="00676F5B">
        <w:rPr>
          <w:rFonts w:ascii="Times New Roman" w:hAnsi="Times New Roman" w:cs="Times New Roman"/>
          <w:shd w:val="clear" w:color="auto" w:fill="FFFFFF"/>
        </w:rPr>
        <w:t xml:space="preserve"> </w:t>
      </w:r>
      <w:r w:rsidR="00A62DB5">
        <w:rPr>
          <w:rFonts w:ascii="Times New Roman" w:hAnsi="Times New Roman" w:cs="Times New Roman"/>
          <w:shd w:val="clear" w:color="auto" w:fill="FFFFFF"/>
        </w:rPr>
        <w:t xml:space="preserve">on 377+ proteins.  This depth of analysis can be used </w:t>
      </w:r>
      <w:r w:rsidR="00CC0E9C" w:rsidRPr="00676F5B">
        <w:rPr>
          <w:rFonts w:ascii="Times New Roman" w:hAnsi="Times New Roman" w:cs="Times New Roman"/>
          <w:shd w:val="clear" w:color="auto" w:fill="FFFFFF"/>
        </w:rPr>
        <w:t xml:space="preserve">to </w:t>
      </w:r>
      <w:r w:rsidR="00997072">
        <w:rPr>
          <w:rFonts w:ascii="Times New Roman" w:hAnsi="Times New Roman" w:cs="Times New Roman"/>
          <w:shd w:val="clear" w:color="auto" w:fill="FFFFFF"/>
        </w:rPr>
        <w:t xml:space="preserve">guide </w:t>
      </w:r>
      <w:r w:rsidR="00B43D97" w:rsidRPr="00676F5B">
        <w:rPr>
          <w:rFonts w:ascii="Times New Roman" w:hAnsi="Times New Roman" w:cs="Times New Roman"/>
          <w:shd w:val="clear" w:color="auto" w:fill="FFFFFF"/>
        </w:rPr>
        <w:t>ADC treatment decisions</w:t>
      </w:r>
      <w:r w:rsidR="008A477C">
        <w:rPr>
          <w:rFonts w:ascii="Times New Roman" w:hAnsi="Times New Roman" w:cs="Times New Roman"/>
          <w:shd w:val="clear" w:color="auto" w:fill="FFFFFF"/>
        </w:rPr>
        <w:t xml:space="preserve">. We measure </w:t>
      </w:r>
      <w:r w:rsidR="006A5D6B">
        <w:rPr>
          <w:rFonts w:ascii="Times New Roman" w:hAnsi="Times New Roman" w:cs="Times New Roman"/>
          <w:shd w:val="clear" w:color="auto" w:fill="FFFFFF"/>
        </w:rPr>
        <w:t xml:space="preserve">both the </w:t>
      </w:r>
      <w:r w:rsidR="006104D4">
        <w:rPr>
          <w:rFonts w:ascii="Times New Roman" w:hAnsi="Times New Roman" w:cs="Times New Roman"/>
          <w:shd w:val="clear" w:color="auto" w:fill="FFFFFF"/>
        </w:rPr>
        <w:t>sixteen (</w:t>
      </w:r>
      <w:r w:rsidR="006A5D6B">
        <w:rPr>
          <w:rFonts w:ascii="Times New Roman" w:hAnsi="Times New Roman" w:cs="Times New Roman"/>
          <w:shd w:val="clear" w:color="auto" w:fill="FFFFFF"/>
        </w:rPr>
        <w:t>16</w:t>
      </w:r>
      <w:r w:rsidR="006104D4">
        <w:rPr>
          <w:rFonts w:ascii="Times New Roman" w:hAnsi="Times New Roman" w:cs="Times New Roman"/>
          <w:shd w:val="clear" w:color="auto" w:fill="FFFFFF"/>
        </w:rPr>
        <w:t>)</w:t>
      </w:r>
      <w:r w:rsidR="006A5D6B">
        <w:rPr>
          <w:rFonts w:ascii="Times New Roman" w:hAnsi="Times New Roman" w:cs="Times New Roman"/>
          <w:shd w:val="clear" w:color="auto" w:fill="FFFFFF"/>
        </w:rPr>
        <w:t xml:space="preserve"> most common tumor-specific antigens (protein receptors) </w:t>
      </w:r>
      <w:r w:rsidR="0012684F">
        <w:rPr>
          <w:rFonts w:ascii="Times New Roman" w:hAnsi="Times New Roman" w:cs="Times New Roman"/>
          <w:shd w:val="clear" w:color="auto" w:fill="FFFFFF"/>
        </w:rPr>
        <w:t xml:space="preserve">targeted by ADCs </w:t>
      </w:r>
      <w:r w:rsidR="006A5D6B">
        <w:rPr>
          <w:rFonts w:ascii="Times New Roman" w:hAnsi="Times New Roman" w:cs="Times New Roman"/>
          <w:shd w:val="clear" w:color="auto" w:fill="FFFFFF"/>
        </w:rPr>
        <w:t xml:space="preserve">and the </w:t>
      </w:r>
      <w:r w:rsidR="006104D4">
        <w:rPr>
          <w:rFonts w:ascii="Times New Roman" w:hAnsi="Times New Roman" w:cs="Times New Roman"/>
          <w:shd w:val="clear" w:color="auto" w:fill="FFFFFF"/>
        </w:rPr>
        <w:t>two (</w:t>
      </w:r>
      <w:r w:rsidR="006A5D6B">
        <w:rPr>
          <w:rFonts w:ascii="Times New Roman" w:hAnsi="Times New Roman" w:cs="Times New Roman"/>
          <w:shd w:val="clear" w:color="auto" w:fill="FFFFFF"/>
        </w:rPr>
        <w:t>2</w:t>
      </w:r>
      <w:r w:rsidR="006104D4">
        <w:rPr>
          <w:rFonts w:ascii="Times New Roman" w:hAnsi="Times New Roman" w:cs="Times New Roman"/>
          <w:shd w:val="clear" w:color="auto" w:fill="FFFFFF"/>
        </w:rPr>
        <w:t>)</w:t>
      </w:r>
      <w:r w:rsidR="006A5D6B">
        <w:rPr>
          <w:rFonts w:ascii="Times New Roman" w:hAnsi="Times New Roman" w:cs="Times New Roman"/>
          <w:shd w:val="clear" w:color="auto" w:fill="FFFFFF"/>
        </w:rPr>
        <w:t xml:space="preserve"> most common </w:t>
      </w:r>
      <w:r w:rsidR="0012684F">
        <w:rPr>
          <w:rFonts w:ascii="Times New Roman" w:hAnsi="Times New Roman" w:cs="Times New Roman"/>
          <w:shd w:val="clear" w:color="auto" w:fill="FFFFFF"/>
        </w:rPr>
        <w:t xml:space="preserve">ADC </w:t>
      </w:r>
      <w:r w:rsidR="006A5D6B">
        <w:rPr>
          <w:rFonts w:ascii="Times New Roman" w:hAnsi="Times New Roman" w:cs="Times New Roman"/>
          <w:shd w:val="clear" w:color="auto" w:fill="FFFFFF"/>
        </w:rPr>
        <w:t xml:space="preserve">payload protein targets </w:t>
      </w:r>
      <w:r w:rsidR="006104D4">
        <w:rPr>
          <w:rFonts w:ascii="Times New Roman" w:hAnsi="Times New Roman" w:cs="Times New Roman"/>
          <w:shd w:val="clear" w:color="auto" w:fill="FFFFFF"/>
        </w:rPr>
        <w:t>(</w:t>
      </w:r>
      <w:r w:rsidR="00544CC4">
        <w:rPr>
          <w:rFonts w:ascii="Times New Roman" w:hAnsi="Times New Roman" w:cs="Times New Roman"/>
          <w:shd w:val="clear" w:color="auto" w:fill="FFFFFF"/>
        </w:rPr>
        <w:t>TUBB3</w:t>
      </w:r>
      <w:r w:rsidR="005A5847">
        <w:rPr>
          <w:rFonts w:ascii="Times New Roman" w:hAnsi="Times New Roman" w:cs="Times New Roman"/>
          <w:shd w:val="clear" w:color="auto" w:fill="FFFFFF"/>
        </w:rPr>
        <w:t xml:space="preserve">, </w:t>
      </w:r>
      <w:r w:rsidR="00544CC4">
        <w:rPr>
          <w:rFonts w:ascii="Times New Roman" w:hAnsi="Times New Roman" w:cs="Times New Roman"/>
          <w:shd w:val="clear" w:color="auto" w:fill="FFFFFF"/>
        </w:rPr>
        <w:t>T</w:t>
      </w:r>
      <w:r w:rsidR="005A5847">
        <w:rPr>
          <w:rFonts w:ascii="Times New Roman" w:hAnsi="Times New Roman" w:cs="Times New Roman"/>
          <w:shd w:val="clear" w:color="auto" w:fill="FFFFFF"/>
        </w:rPr>
        <w:t>OPO</w:t>
      </w:r>
      <w:r w:rsidR="00544CC4">
        <w:rPr>
          <w:rFonts w:ascii="Times New Roman" w:hAnsi="Times New Roman" w:cs="Times New Roman"/>
          <w:shd w:val="clear" w:color="auto" w:fill="FFFFFF"/>
        </w:rPr>
        <w:t>1</w:t>
      </w:r>
      <w:r w:rsidR="005A5847">
        <w:rPr>
          <w:rFonts w:ascii="Times New Roman" w:hAnsi="Times New Roman" w:cs="Times New Roman"/>
          <w:shd w:val="clear" w:color="auto" w:fill="FFFFFF"/>
        </w:rPr>
        <w:t>,</w:t>
      </w:r>
      <w:r w:rsidR="00544CC4">
        <w:rPr>
          <w:rFonts w:ascii="Times New Roman" w:hAnsi="Times New Roman" w:cs="Times New Roman"/>
          <w:shd w:val="clear" w:color="auto" w:fill="FFFFFF"/>
        </w:rPr>
        <w:t xml:space="preserve"> and </w:t>
      </w:r>
      <w:r w:rsidR="005A5847">
        <w:rPr>
          <w:rFonts w:ascii="Times New Roman" w:hAnsi="Times New Roman" w:cs="Times New Roman"/>
          <w:shd w:val="clear" w:color="auto" w:fill="FFFFFF"/>
        </w:rPr>
        <w:t>TOPO</w:t>
      </w:r>
      <w:r w:rsidR="00544CC4">
        <w:rPr>
          <w:rFonts w:ascii="Times New Roman" w:hAnsi="Times New Roman" w:cs="Times New Roman"/>
          <w:shd w:val="clear" w:color="auto" w:fill="FFFFFF"/>
        </w:rPr>
        <w:t>2)</w:t>
      </w:r>
      <w:r w:rsidR="006A5D6B">
        <w:rPr>
          <w:rFonts w:ascii="Times New Roman" w:hAnsi="Times New Roman" w:cs="Times New Roman"/>
          <w:shd w:val="clear" w:color="auto" w:fill="FFFFFF"/>
        </w:rPr>
        <w:t xml:space="preserve"> in patient </w:t>
      </w:r>
      <w:r w:rsidR="006A5D6B" w:rsidRPr="004952AD">
        <w:rPr>
          <w:rFonts w:ascii="Times New Roman" w:hAnsi="Times New Roman" w:cs="Times New Roman"/>
          <w:shd w:val="clear" w:color="auto" w:fill="FFFFFF"/>
        </w:rPr>
        <w:t>tumor cells</w:t>
      </w:r>
      <w:r w:rsidR="00544CC4" w:rsidRPr="004952AD">
        <w:rPr>
          <w:rFonts w:ascii="Times New Roman" w:hAnsi="Times New Roman" w:cs="Times New Roman"/>
          <w:shd w:val="clear" w:color="auto" w:fill="FFFFFF"/>
        </w:rPr>
        <w:t>.</w:t>
      </w:r>
      <w:r w:rsidR="008A477C" w:rsidRPr="004952AD">
        <w:rPr>
          <w:rFonts w:ascii="Times New Roman" w:hAnsi="Times New Roman" w:cs="Times New Roman"/>
          <w:shd w:val="clear" w:color="auto" w:fill="FFFFFF"/>
        </w:rPr>
        <w:t xml:space="preserve"> </w:t>
      </w:r>
      <w:r w:rsidR="005221D3" w:rsidRPr="004952AD">
        <w:rPr>
          <w:rFonts w:ascii="Times New Roman" w:hAnsi="Times New Roman" w:cs="Times New Roman"/>
        </w:rPr>
        <w:t xml:space="preserve">The </w:t>
      </w:r>
      <w:proofErr w:type="spellStart"/>
      <w:r w:rsidR="005221D3" w:rsidRPr="004952AD">
        <w:rPr>
          <w:rFonts w:ascii="Times New Roman" w:hAnsi="Times New Roman" w:cs="Times New Roman"/>
        </w:rPr>
        <w:t>mAb</w:t>
      </w:r>
      <w:proofErr w:type="spellEnd"/>
      <w:r w:rsidR="005221D3" w:rsidRPr="004952AD">
        <w:rPr>
          <w:rFonts w:ascii="Times New Roman" w:hAnsi="Times New Roman" w:cs="Times New Roman"/>
        </w:rPr>
        <w:t xml:space="preserve"> and payload target proteins that mProbe measures in its clinical laboratory are listed</w:t>
      </w:r>
      <w:r w:rsidR="00E357BD" w:rsidRPr="004952AD">
        <w:rPr>
          <w:rFonts w:ascii="Times New Roman" w:hAnsi="Times New Roman" w:cs="Times New Roman"/>
        </w:rPr>
        <w:t xml:space="preserve"> </w:t>
      </w:r>
      <w:r w:rsidR="005221D3" w:rsidRPr="004952AD">
        <w:rPr>
          <w:rFonts w:ascii="Times New Roman" w:hAnsi="Times New Roman" w:cs="Times New Roman"/>
        </w:rPr>
        <w:t>below</w:t>
      </w:r>
      <w:r w:rsidR="00E357BD" w:rsidRPr="004952AD">
        <w:rPr>
          <w:rFonts w:ascii="Times New Roman" w:hAnsi="Times New Roman" w:cs="Times New Roman"/>
        </w:rPr>
        <w:t xml:space="preserve"> (Tables 1,2)</w:t>
      </w:r>
      <w:r w:rsidR="005221D3" w:rsidRPr="004952AD">
        <w:rPr>
          <w:rFonts w:ascii="Times New Roman" w:hAnsi="Times New Roman" w:cs="Times New Roman"/>
        </w:rPr>
        <w:t>.</w:t>
      </w:r>
      <w:r w:rsidR="005221D3" w:rsidRPr="004952AD">
        <w:rPr>
          <w:rFonts w:ascii="Times New Roman" w:hAnsi="Times New Roman" w:cs="Times New Roman"/>
        </w:rPr>
        <w:t xml:space="preserve"> </w:t>
      </w:r>
      <w:r w:rsidR="004237D5" w:rsidRPr="004952AD">
        <w:rPr>
          <w:rFonts w:ascii="Times New Roman" w:hAnsi="Times New Roman" w:cs="Times New Roman"/>
          <w:shd w:val="clear" w:color="auto" w:fill="FFFFFF"/>
        </w:rPr>
        <w:t>Measuring both the ADC-targeted tumor-specific antigen and the payload target</w:t>
      </w:r>
      <w:r w:rsidR="00A62DB5" w:rsidRPr="004952AD">
        <w:rPr>
          <w:rFonts w:ascii="Times New Roman" w:hAnsi="Times New Roman" w:cs="Times New Roman"/>
          <w:shd w:val="clear" w:color="auto" w:fill="FFFFFF"/>
        </w:rPr>
        <w:t xml:space="preserve"> </w:t>
      </w:r>
      <w:r w:rsidR="005221D3" w:rsidRPr="004952AD">
        <w:rPr>
          <w:rFonts w:ascii="Times New Roman" w:hAnsi="Times New Roman" w:cs="Times New Roman"/>
          <w:shd w:val="clear" w:color="auto" w:fill="FFFFFF"/>
        </w:rPr>
        <w:t xml:space="preserve">proteins </w:t>
      </w:r>
      <w:r w:rsidR="004237D5" w:rsidRPr="004952AD">
        <w:rPr>
          <w:rFonts w:ascii="Times New Roman" w:hAnsi="Times New Roman" w:cs="Times New Roman"/>
          <w:shd w:val="clear" w:color="auto" w:fill="FFFFFF"/>
        </w:rPr>
        <w:t>provide</w:t>
      </w:r>
      <w:r w:rsidR="00A62DB5" w:rsidRPr="004952AD">
        <w:rPr>
          <w:rFonts w:ascii="Times New Roman" w:hAnsi="Times New Roman" w:cs="Times New Roman"/>
          <w:shd w:val="clear" w:color="auto" w:fill="FFFFFF"/>
        </w:rPr>
        <w:t>s</w:t>
      </w:r>
      <w:r w:rsidR="004237D5" w:rsidRPr="004952AD">
        <w:rPr>
          <w:rFonts w:ascii="Times New Roman" w:hAnsi="Times New Roman" w:cs="Times New Roman"/>
          <w:shd w:val="clear" w:color="auto" w:fill="FFFFFF"/>
        </w:rPr>
        <w:t xml:space="preserve"> for advanced </w:t>
      </w:r>
      <w:r w:rsidR="008A477C" w:rsidRPr="004952AD">
        <w:rPr>
          <w:rStyle w:val="hgkelc"/>
          <w:rFonts w:ascii="Times New Roman" w:hAnsi="Times New Roman" w:cs="Times New Roman"/>
          <w:lang w:val="en"/>
        </w:rPr>
        <w:t xml:space="preserve">clinical </w:t>
      </w:r>
      <w:r w:rsidR="00A62DB5" w:rsidRPr="004952AD">
        <w:rPr>
          <w:rStyle w:val="hgkelc"/>
          <w:rFonts w:ascii="Times New Roman" w:hAnsi="Times New Roman" w:cs="Times New Roman"/>
          <w:lang w:val="en"/>
        </w:rPr>
        <w:t>evaluation</w:t>
      </w:r>
      <w:r w:rsidR="005F19C2" w:rsidRPr="004952AD">
        <w:rPr>
          <w:rStyle w:val="hgkelc"/>
          <w:rFonts w:ascii="Times New Roman" w:hAnsi="Times New Roman" w:cs="Times New Roman"/>
          <w:lang w:val="en"/>
        </w:rPr>
        <w:t>, patient stratification,</w:t>
      </w:r>
      <w:r w:rsidR="004237D5" w:rsidRPr="004952AD">
        <w:rPr>
          <w:rStyle w:val="hgkelc"/>
          <w:rFonts w:ascii="Times New Roman" w:hAnsi="Times New Roman" w:cs="Times New Roman"/>
          <w:lang w:val="en"/>
        </w:rPr>
        <w:t xml:space="preserve"> and informed drug treatment decisions.</w:t>
      </w:r>
    </w:p>
    <w:p w14:paraId="28B14EC2" w14:textId="77777777" w:rsidR="00AE266E" w:rsidRDefault="00AE266E" w:rsidP="005221D3">
      <w:pPr>
        <w:ind w:left="-360" w:right="-360"/>
        <w:jc w:val="both"/>
        <w:rPr>
          <w:rStyle w:val="hgkelc"/>
          <w:rFonts w:ascii="Times New Roman" w:hAnsi="Times New Roman" w:cs="Times New Roman"/>
          <w:lang w:val="en"/>
        </w:rPr>
      </w:pPr>
    </w:p>
    <w:p w14:paraId="485BE111" w14:textId="709967DA" w:rsidR="00AE266E" w:rsidRDefault="005A6594" w:rsidP="005221D3">
      <w:pPr>
        <w:ind w:left="-360" w:right="-360"/>
        <w:jc w:val="both"/>
        <w:rPr>
          <w:rStyle w:val="hgkelc"/>
          <w:rFonts w:ascii="Times New Roman" w:hAnsi="Times New Roman" w:cs="Times New Roman"/>
          <w:lang w:val="en"/>
        </w:rPr>
      </w:pPr>
      <w:r>
        <w:rPr>
          <w:rFonts w:ascii="Times New Roman" w:hAnsi="Times New Roman" w:cs="Times New Roman"/>
          <w:noProof/>
          <w:color w:val="000000" w:themeColor="text1"/>
          <w:sz w:val="22"/>
          <w:szCs w:val="22"/>
        </w:rPr>
        <w:drawing>
          <wp:anchor distT="0" distB="0" distL="114300" distR="114300" simplePos="0" relativeHeight="251695104" behindDoc="1" locked="0" layoutInCell="1" allowOverlap="1" wp14:anchorId="4DC4C8A2" wp14:editId="385FCB23">
            <wp:simplePos x="0" y="0"/>
            <wp:positionH relativeFrom="column">
              <wp:posOffset>2602703</wp:posOffset>
            </wp:positionH>
            <wp:positionV relativeFrom="paragraph">
              <wp:posOffset>224155</wp:posOffset>
            </wp:positionV>
            <wp:extent cx="3514725" cy="1186815"/>
            <wp:effectExtent l="19050" t="19050" r="9525" b="0"/>
            <wp:wrapTight wrapText="bothSides">
              <wp:wrapPolygon edited="0">
                <wp:start x="-117" y="-347"/>
                <wp:lineTo x="-117" y="21496"/>
                <wp:lineTo x="21659" y="21496"/>
                <wp:lineTo x="21659" y="-347"/>
                <wp:lineTo x="-117" y="-347"/>
              </wp:wrapPolygon>
            </wp:wrapTight>
            <wp:docPr id="5" name="Picture 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chat or text message&#10;&#10;Description automatically generated"/>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514725" cy="118681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58240" behindDoc="1" locked="0" layoutInCell="1" allowOverlap="1" wp14:anchorId="29FF8C2C" wp14:editId="63F690E5">
            <wp:simplePos x="0" y="0"/>
            <wp:positionH relativeFrom="column">
              <wp:posOffset>-125257</wp:posOffset>
            </wp:positionH>
            <wp:positionV relativeFrom="paragraph">
              <wp:posOffset>219075</wp:posOffset>
            </wp:positionV>
            <wp:extent cx="2447925" cy="1191895"/>
            <wp:effectExtent l="19050" t="19050" r="9525" b="8255"/>
            <wp:wrapTight wrapText="bothSides">
              <wp:wrapPolygon edited="0">
                <wp:start x="-168" y="-345"/>
                <wp:lineTo x="-168" y="21750"/>
                <wp:lineTo x="21684" y="21750"/>
                <wp:lineTo x="21684" y="-345"/>
                <wp:lineTo x="-168" y="-34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447925" cy="119189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Pr>
          <w:rStyle w:val="hgkelc"/>
          <w:rFonts w:ascii="Times New Roman" w:hAnsi="Times New Roman" w:cs="Times New Roman"/>
          <w:lang w:val="en"/>
        </w:rPr>
        <w:t xml:space="preserve">  </w:t>
      </w:r>
      <w:r w:rsidR="00AE266E">
        <w:rPr>
          <w:rStyle w:val="hgkelc"/>
          <w:rFonts w:ascii="Times New Roman" w:hAnsi="Times New Roman" w:cs="Times New Roman"/>
          <w:lang w:val="en"/>
        </w:rPr>
        <w:t>Table 1</w:t>
      </w:r>
      <w:r w:rsidR="00AE266E">
        <w:rPr>
          <w:rStyle w:val="hgkelc"/>
          <w:rFonts w:ascii="Times New Roman" w:hAnsi="Times New Roman" w:cs="Times New Roman"/>
          <w:lang w:val="en"/>
        </w:rPr>
        <w:tab/>
      </w:r>
      <w:r w:rsidR="00AE266E">
        <w:rPr>
          <w:rStyle w:val="hgkelc"/>
          <w:rFonts w:ascii="Times New Roman" w:hAnsi="Times New Roman" w:cs="Times New Roman"/>
          <w:lang w:val="en"/>
        </w:rPr>
        <w:tab/>
      </w:r>
      <w:r w:rsidR="00AE266E">
        <w:rPr>
          <w:rStyle w:val="hgkelc"/>
          <w:rFonts w:ascii="Times New Roman" w:hAnsi="Times New Roman" w:cs="Times New Roman"/>
          <w:lang w:val="en"/>
        </w:rPr>
        <w:tab/>
      </w:r>
      <w:r w:rsidR="00AE266E">
        <w:rPr>
          <w:rStyle w:val="hgkelc"/>
          <w:rFonts w:ascii="Times New Roman" w:hAnsi="Times New Roman" w:cs="Times New Roman"/>
          <w:lang w:val="en"/>
        </w:rPr>
        <w:tab/>
      </w:r>
      <w:r w:rsidR="00AE266E">
        <w:rPr>
          <w:rStyle w:val="hgkelc"/>
          <w:rFonts w:ascii="Times New Roman" w:hAnsi="Times New Roman" w:cs="Times New Roman"/>
          <w:lang w:val="en"/>
        </w:rPr>
        <w:tab/>
      </w:r>
      <w:r>
        <w:rPr>
          <w:rStyle w:val="hgkelc"/>
          <w:rFonts w:ascii="Times New Roman" w:hAnsi="Times New Roman" w:cs="Times New Roman"/>
          <w:lang w:val="en"/>
        </w:rPr>
        <w:t xml:space="preserve">        </w:t>
      </w:r>
      <w:r w:rsidR="00AE266E">
        <w:rPr>
          <w:rStyle w:val="hgkelc"/>
          <w:rFonts w:ascii="Times New Roman" w:hAnsi="Times New Roman" w:cs="Times New Roman"/>
          <w:lang w:val="en"/>
        </w:rPr>
        <w:t>Table 2</w:t>
      </w:r>
    </w:p>
    <w:p w14:paraId="3B5A9704" w14:textId="7D71CF88" w:rsidR="00AE266E" w:rsidRPr="00743BC5" w:rsidRDefault="00AE266E" w:rsidP="0073333A">
      <w:pPr>
        <w:ind w:left="-360" w:right="-360"/>
        <w:jc w:val="both"/>
        <w:rPr>
          <w:rFonts w:ascii="Times New Roman" w:hAnsi="Times New Roman" w:cs="Times New Roman"/>
        </w:rPr>
      </w:pPr>
      <w:r>
        <w:rPr>
          <w:rStyle w:val="hgkelc"/>
          <w:rFonts w:ascii="Times New Roman" w:hAnsi="Times New Roman" w:cs="Times New Roman"/>
          <w:lang w:val="en"/>
        </w:rPr>
        <w:t xml:space="preserve">mProbe currently has demonstrated capability of informing ADC treatment decisions </w:t>
      </w:r>
      <w:r w:rsidR="0073333A">
        <w:rPr>
          <w:rStyle w:val="hgkelc"/>
          <w:rFonts w:ascii="Times New Roman" w:hAnsi="Times New Roman" w:cs="Times New Roman"/>
          <w:lang w:val="en"/>
        </w:rPr>
        <w:t>in</w:t>
      </w:r>
      <w:r>
        <w:rPr>
          <w:rStyle w:val="hgkelc"/>
          <w:rFonts w:ascii="Times New Roman" w:hAnsi="Times New Roman" w:cs="Times New Roman"/>
          <w:lang w:val="en"/>
        </w:rPr>
        <w:t xml:space="preserve"> solid tumor</w:t>
      </w:r>
      <w:r w:rsidR="0073333A">
        <w:rPr>
          <w:rStyle w:val="hgkelc"/>
          <w:rFonts w:ascii="Times New Roman" w:hAnsi="Times New Roman" w:cs="Times New Roman"/>
          <w:lang w:val="en"/>
        </w:rPr>
        <w:t xml:space="preserve"> settings</w:t>
      </w:r>
      <w:r>
        <w:rPr>
          <w:rStyle w:val="hgkelc"/>
          <w:rFonts w:ascii="Times New Roman" w:hAnsi="Times New Roman" w:cs="Times New Roman"/>
          <w:lang w:val="en"/>
        </w:rPr>
        <w:t xml:space="preserve"> for multiple FDA-cleared ADCs</w:t>
      </w:r>
      <w:r w:rsidR="0073333A">
        <w:rPr>
          <w:rStyle w:val="hgkelc"/>
          <w:rFonts w:ascii="Times New Roman" w:hAnsi="Times New Roman" w:cs="Times New Roman"/>
          <w:lang w:val="en"/>
        </w:rPr>
        <w:t xml:space="preserve">.  We are also working closely with pharmaceutical companies to develop protein expression profiles to inform ADCs currently in experimental, pre-clinical, and </w:t>
      </w:r>
      <w:r w:rsidR="0073333A" w:rsidRPr="00743BC5">
        <w:rPr>
          <w:rStyle w:val="hgkelc"/>
          <w:rFonts w:ascii="Times New Roman" w:hAnsi="Times New Roman" w:cs="Times New Roman"/>
          <w:lang w:val="en"/>
        </w:rPr>
        <w:t xml:space="preserve">clinical trial stages. </w:t>
      </w:r>
      <w:r w:rsidR="004952AD" w:rsidRPr="00743BC5">
        <w:rPr>
          <w:rStyle w:val="hgkelc"/>
          <w:rFonts w:ascii="Times New Roman" w:hAnsi="Times New Roman" w:cs="Times New Roman"/>
          <w:lang w:val="en"/>
        </w:rPr>
        <w:t>Examples of recent</w:t>
      </w:r>
      <w:r w:rsidR="009C02E1" w:rsidRPr="00743BC5">
        <w:rPr>
          <w:rStyle w:val="hgkelc"/>
          <w:rFonts w:ascii="Times New Roman" w:hAnsi="Times New Roman" w:cs="Times New Roman"/>
          <w:lang w:val="en"/>
        </w:rPr>
        <w:t xml:space="preserve"> FDA-</w:t>
      </w:r>
      <w:r w:rsidR="004952AD" w:rsidRPr="00743BC5">
        <w:rPr>
          <w:rStyle w:val="hgkelc"/>
          <w:rFonts w:ascii="Times New Roman" w:hAnsi="Times New Roman" w:cs="Times New Roman"/>
          <w:lang w:val="en"/>
        </w:rPr>
        <w:t>cleared ADCs</w:t>
      </w:r>
      <w:r w:rsidR="009C02E1" w:rsidRPr="00743BC5">
        <w:rPr>
          <w:rStyle w:val="hgkelc"/>
          <w:rFonts w:ascii="Times New Roman" w:hAnsi="Times New Roman" w:cs="Times New Roman"/>
          <w:lang w:val="en"/>
        </w:rPr>
        <w:t xml:space="preserve"> </w:t>
      </w:r>
      <w:r w:rsidR="0073333A" w:rsidRPr="00743BC5">
        <w:rPr>
          <w:rStyle w:val="hgkelc"/>
          <w:rFonts w:ascii="Times New Roman" w:hAnsi="Times New Roman" w:cs="Times New Roman"/>
          <w:lang w:val="en"/>
        </w:rPr>
        <w:t>for which</w:t>
      </w:r>
      <w:r w:rsidR="009C02E1" w:rsidRPr="00743BC5">
        <w:rPr>
          <w:rStyle w:val="hgkelc"/>
          <w:rFonts w:ascii="Times New Roman" w:hAnsi="Times New Roman" w:cs="Times New Roman"/>
          <w:lang w:val="en"/>
        </w:rPr>
        <w:t xml:space="preserve"> </w:t>
      </w:r>
      <w:r w:rsidR="004952AD" w:rsidRPr="00743BC5">
        <w:rPr>
          <w:rStyle w:val="hgkelc"/>
          <w:rFonts w:ascii="Times New Roman" w:hAnsi="Times New Roman" w:cs="Times New Roman"/>
          <w:lang w:val="en"/>
        </w:rPr>
        <w:t xml:space="preserve">mProbe provides </w:t>
      </w:r>
      <w:r w:rsidR="009C02E1" w:rsidRPr="00743BC5">
        <w:rPr>
          <w:rStyle w:val="hgkelc"/>
          <w:rFonts w:ascii="Times New Roman" w:hAnsi="Times New Roman" w:cs="Times New Roman"/>
          <w:lang w:val="en"/>
        </w:rPr>
        <w:t xml:space="preserve">clinical </w:t>
      </w:r>
      <w:r w:rsidR="004952AD" w:rsidRPr="00743BC5">
        <w:rPr>
          <w:rStyle w:val="hgkelc"/>
          <w:rFonts w:ascii="Times New Roman" w:hAnsi="Times New Roman" w:cs="Times New Roman"/>
          <w:lang w:val="en"/>
        </w:rPr>
        <w:t>evaluation</w:t>
      </w:r>
      <w:r w:rsidR="0073333A" w:rsidRPr="00743BC5">
        <w:rPr>
          <w:rStyle w:val="hgkelc"/>
          <w:rFonts w:ascii="Times New Roman" w:hAnsi="Times New Roman" w:cs="Times New Roman"/>
          <w:lang w:val="en"/>
        </w:rPr>
        <w:t xml:space="preserve"> </w:t>
      </w:r>
      <w:r w:rsidR="004952AD" w:rsidRPr="00743BC5">
        <w:rPr>
          <w:rStyle w:val="hgkelc"/>
          <w:rFonts w:ascii="Times New Roman" w:hAnsi="Times New Roman" w:cs="Times New Roman"/>
          <w:lang w:val="en"/>
        </w:rPr>
        <w:t xml:space="preserve">are: 1) </w:t>
      </w:r>
      <w:proofErr w:type="spellStart"/>
      <w:r w:rsidR="004952AD" w:rsidRPr="00743BC5">
        <w:rPr>
          <w:rFonts w:ascii="Times New Roman" w:hAnsi="Times New Roman" w:cs="Times New Roman"/>
        </w:rPr>
        <w:t>Kadcyla</w:t>
      </w:r>
      <w:proofErr w:type="spellEnd"/>
      <w:r w:rsidR="004952AD" w:rsidRPr="00743BC5">
        <w:rPr>
          <w:rFonts w:ascii="Times New Roman" w:hAnsi="Times New Roman" w:cs="Times New Roman"/>
        </w:rPr>
        <w:t xml:space="preserve">® (Her2 </w:t>
      </w:r>
      <w:proofErr w:type="spellStart"/>
      <w:r w:rsidR="0073333A" w:rsidRPr="00743BC5">
        <w:rPr>
          <w:rFonts w:ascii="Times New Roman" w:hAnsi="Times New Roman" w:cs="Times New Roman"/>
        </w:rPr>
        <w:t>mAb</w:t>
      </w:r>
      <w:proofErr w:type="spellEnd"/>
      <w:r w:rsidR="0073333A" w:rsidRPr="00743BC5">
        <w:rPr>
          <w:rFonts w:ascii="Times New Roman" w:hAnsi="Times New Roman" w:cs="Times New Roman"/>
        </w:rPr>
        <w:t xml:space="preserve"> </w:t>
      </w:r>
      <w:r w:rsidR="009C02E1" w:rsidRPr="00743BC5">
        <w:rPr>
          <w:rFonts w:ascii="Times New Roman" w:hAnsi="Times New Roman" w:cs="Times New Roman"/>
        </w:rPr>
        <w:t>plus</w:t>
      </w:r>
      <w:r w:rsidR="004952AD" w:rsidRPr="00743BC5">
        <w:rPr>
          <w:rFonts w:ascii="Times New Roman" w:hAnsi="Times New Roman" w:cs="Times New Roman"/>
        </w:rPr>
        <w:t xml:space="preserve"> microtubule inhibitor </w:t>
      </w:r>
      <w:r w:rsidR="004952AD" w:rsidRPr="00743BC5">
        <w:rPr>
          <w:rFonts w:ascii="Times New Roman" w:hAnsi="Times New Roman" w:cs="Times New Roman"/>
        </w:rPr>
        <w:t>emtansine</w:t>
      </w:r>
      <w:r w:rsidR="004952AD" w:rsidRPr="00743BC5">
        <w:rPr>
          <w:rFonts w:ascii="Times New Roman" w:hAnsi="Times New Roman" w:cs="Times New Roman"/>
        </w:rPr>
        <w:t xml:space="preserve">) </w:t>
      </w:r>
      <w:r w:rsidR="0073333A" w:rsidRPr="00743BC5">
        <w:rPr>
          <w:rFonts w:ascii="Times New Roman" w:hAnsi="Times New Roman" w:cs="Times New Roman"/>
        </w:rPr>
        <w:t xml:space="preserve">and </w:t>
      </w:r>
      <w:r w:rsidR="004952AD" w:rsidRPr="00743BC5">
        <w:rPr>
          <w:rFonts w:ascii="Times New Roman" w:hAnsi="Times New Roman" w:cs="Times New Roman"/>
        </w:rPr>
        <w:t xml:space="preserve">2) </w:t>
      </w:r>
      <w:proofErr w:type="spellStart"/>
      <w:r w:rsidR="004952AD" w:rsidRPr="00743BC5">
        <w:rPr>
          <w:rFonts w:ascii="Times New Roman" w:hAnsi="Times New Roman" w:cs="Times New Roman"/>
          <w:color w:val="000000"/>
        </w:rPr>
        <w:t>Trodelvy</w:t>
      </w:r>
      <w:proofErr w:type="spellEnd"/>
      <w:r w:rsidR="004952AD" w:rsidRPr="00743BC5">
        <w:rPr>
          <w:rFonts w:ascii="Times New Roman" w:hAnsi="Times New Roman" w:cs="Times New Roman"/>
          <w:color w:val="000000"/>
        </w:rPr>
        <w:t>®</w:t>
      </w:r>
      <w:r w:rsidR="004952AD" w:rsidRPr="00743BC5">
        <w:rPr>
          <w:rFonts w:ascii="Times New Roman" w:hAnsi="Times New Roman" w:cs="Times New Roman"/>
        </w:rPr>
        <w:t xml:space="preserve"> (Trop2 </w:t>
      </w:r>
      <w:proofErr w:type="spellStart"/>
      <w:r w:rsidR="0073333A" w:rsidRPr="00743BC5">
        <w:rPr>
          <w:rFonts w:ascii="Times New Roman" w:hAnsi="Times New Roman" w:cs="Times New Roman"/>
        </w:rPr>
        <w:t>mAb</w:t>
      </w:r>
      <w:proofErr w:type="spellEnd"/>
      <w:r w:rsidR="0073333A" w:rsidRPr="00743BC5">
        <w:rPr>
          <w:rFonts w:ascii="Times New Roman" w:hAnsi="Times New Roman" w:cs="Times New Roman"/>
        </w:rPr>
        <w:t xml:space="preserve"> </w:t>
      </w:r>
      <w:r w:rsidR="009C02E1" w:rsidRPr="00743BC5">
        <w:rPr>
          <w:rFonts w:ascii="Times New Roman" w:hAnsi="Times New Roman" w:cs="Times New Roman"/>
        </w:rPr>
        <w:t>plus</w:t>
      </w:r>
      <w:r w:rsidR="004952AD" w:rsidRPr="00743BC5">
        <w:rPr>
          <w:rFonts w:ascii="Times New Roman" w:hAnsi="Times New Roman" w:cs="Times New Roman"/>
        </w:rPr>
        <w:t xml:space="preserve"> Topoisomerase 1 inhibitor </w:t>
      </w:r>
      <w:hyperlink r:id="rId13" w:history="1">
        <w:proofErr w:type="spellStart"/>
        <w:r w:rsidR="004952AD" w:rsidRPr="00743BC5">
          <w:rPr>
            <w:rStyle w:val="Hyperlink"/>
            <w:rFonts w:ascii="Times New Roman" w:hAnsi="Times New Roman" w:cs="Times New Roman"/>
            <w:color w:val="000000"/>
          </w:rPr>
          <w:t>govitecan</w:t>
        </w:r>
        <w:proofErr w:type="spellEnd"/>
      </w:hyperlink>
      <w:r w:rsidR="004952AD" w:rsidRPr="00743BC5">
        <w:rPr>
          <w:rFonts w:ascii="Times New Roman" w:hAnsi="Times New Roman" w:cs="Times New Roman"/>
        </w:rPr>
        <w:t>).</w:t>
      </w:r>
    </w:p>
    <w:p w14:paraId="11C26F44" w14:textId="77777777" w:rsidR="00AE266E" w:rsidRPr="00743BC5" w:rsidRDefault="00AE266E" w:rsidP="00985B77">
      <w:pPr>
        <w:pStyle w:val="Default"/>
        <w:rPr>
          <w:rFonts w:ascii="Times New Roman" w:hAnsi="Times New Roman" w:cs="Times New Roman"/>
          <w:color w:val="000000" w:themeColor="text1"/>
        </w:rPr>
      </w:pPr>
    </w:p>
    <w:p w14:paraId="0161D6BB" w14:textId="24930ACB" w:rsidR="00F27DA8" w:rsidRPr="00743BC5" w:rsidRDefault="00F27DA8" w:rsidP="00F27DA8">
      <w:pPr>
        <w:pStyle w:val="Default"/>
        <w:ind w:left="-360"/>
        <w:rPr>
          <w:rFonts w:ascii="Times New Roman" w:hAnsi="Times New Roman" w:cs="Times New Roman"/>
          <w:color w:val="000000" w:themeColor="text1"/>
        </w:rPr>
      </w:pPr>
      <w:r w:rsidRPr="00743BC5">
        <w:rPr>
          <w:rFonts w:ascii="Times New Roman" w:hAnsi="Times New Roman" w:cs="Times New Roman"/>
          <w:color w:val="000000" w:themeColor="text1"/>
        </w:rPr>
        <w:t>Key</w:t>
      </w:r>
      <w:r w:rsidR="009C02E1" w:rsidRPr="00743BC5">
        <w:rPr>
          <w:rFonts w:ascii="Times New Roman" w:hAnsi="Times New Roman" w:cs="Times New Roman"/>
          <w:color w:val="000000" w:themeColor="text1"/>
        </w:rPr>
        <w:t xml:space="preserve"> mProbe </w:t>
      </w:r>
      <w:r w:rsidRPr="00743BC5">
        <w:rPr>
          <w:rFonts w:ascii="Times New Roman" w:hAnsi="Times New Roman" w:cs="Times New Roman"/>
          <w:color w:val="000000" w:themeColor="text1"/>
        </w:rPr>
        <w:t xml:space="preserve">technology advantages: </w:t>
      </w:r>
    </w:p>
    <w:p w14:paraId="2177790F" w14:textId="77777777" w:rsidR="00F27DA8" w:rsidRPr="00743BC5" w:rsidRDefault="00F27DA8" w:rsidP="00F27DA8">
      <w:pPr>
        <w:pStyle w:val="Default"/>
        <w:numPr>
          <w:ilvl w:val="0"/>
          <w:numId w:val="2"/>
        </w:numPr>
        <w:spacing w:after="24"/>
        <w:ind w:left="0" w:hanging="180"/>
        <w:rPr>
          <w:rFonts w:ascii="Times New Roman" w:hAnsi="Times New Roman" w:cs="Times New Roman"/>
        </w:rPr>
      </w:pPr>
      <w:r w:rsidRPr="00743BC5">
        <w:rPr>
          <w:rFonts w:ascii="Times New Roman" w:hAnsi="Times New Roman" w:cs="Times New Roman"/>
        </w:rPr>
        <w:t>Minimal Tissue Required (2x10 micron thick tissue section)</w:t>
      </w:r>
    </w:p>
    <w:p w14:paraId="6E2DF869" w14:textId="77777777" w:rsidR="00F27DA8" w:rsidRPr="00743BC5" w:rsidRDefault="00F27DA8" w:rsidP="00F27DA8">
      <w:pPr>
        <w:pStyle w:val="Default"/>
        <w:numPr>
          <w:ilvl w:val="0"/>
          <w:numId w:val="2"/>
        </w:numPr>
        <w:spacing w:after="24"/>
        <w:ind w:left="0" w:hanging="180"/>
        <w:rPr>
          <w:rFonts w:ascii="Times New Roman" w:hAnsi="Times New Roman" w:cs="Times New Roman"/>
        </w:rPr>
      </w:pPr>
      <w:r w:rsidRPr="00743BC5">
        <w:rPr>
          <w:rFonts w:ascii="Times New Roman" w:hAnsi="Times New Roman" w:cs="Times New Roman"/>
        </w:rPr>
        <w:t>Over 70 Biomarkers Analyzed</w:t>
      </w:r>
    </w:p>
    <w:p w14:paraId="2E975AA3" w14:textId="77777777" w:rsidR="00F27DA8" w:rsidRPr="00743BC5" w:rsidRDefault="00F27DA8" w:rsidP="00F27DA8">
      <w:pPr>
        <w:pStyle w:val="Default"/>
        <w:numPr>
          <w:ilvl w:val="0"/>
          <w:numId w:val="2"/>
        </w:numPr>
        <w:spacing w:after="24"/>
        <w:ind w:left="0" w:hanging="180"/>
        <w:rPr>
          <w:rFonts w:ascii="Times New Roman" w:hAnsi="Times New Roman" w:cs="Times New Roman"/>
        </w:rPr>
      </w:pPr>
      <w:r w:rsidRPr="00743BC5">
        <w:rPr>
          <w:rFonts w:ascii="Times New Roman" w:hAnsi="Times New Roman" w:cs="Times New Roman"/>
        </w:rPr>
        <w:t>Wide Dynamic Range Including Identification of “Super-Expressors”</w:t>
      </w:r>
    </w:p>
    <w:p w14:paraId="7F7CF30E" w14:textId="32583AA1" w:rsidR="00F27DA8" w:rsidRPr="00743BC5" w:rsidRDefault="00743BC5" w:rsidP="00F27DA8">
      <w:pPr>
        <w:pStyle w:val="Default"/>
        <w:numPr>
          <w:ilvl w:val="0"/>
          <w:numId w:val="2"/>
        </w:numPr>
        <w:spacing w:after="24"/>
        <w:ind w:left="0" w:hanging="180"/>
        <w:rPr>
          <w:rFonts w:ascii="Times New Roman" w:hAnsi="Times New Roman" w:cs="Times New Roman"/>
        </w:rPr>
      </w:pPr>
      <w:r w:rsidRPr="00743BC5">
        <w:rPr>
          <w:rFonts w:ascii="Times New Roman" w:hAnsi="Times New Roman" w:cs="Times New Roman"/>
        </w:rPr>
        <w:t>Supported</w:t>
      </w:r>
      <w:r w:rsidR="00F27DA8" w:rsidRPr="00743BC5">
        <w:rPr>
          <w:rFonts w:ascii="Times New Roman" w:hAnsi="Times New Roman" w:cs="Times New Roman"/>
        </w:rPr>
        <w:t xml:space="preserve"> by Collaborative </w:t>
      </w:r>
      <w:r w:rsidR="00A97B8D" w:rsidRPr="00743BC5">
        <w:rPr>
          <w:rFonts w:ascii="Times New Roman" w:hAnsi="Times New Roman" w:cs="Times New Roman"/>
        </w:rPr>
        <w:t xml:space="preserve">Publications </w:t>
      </w:r>
      <w:r w:rsidR="00F27DA8" w:rsidRPr="00743BC5">
        <w:rPr>
          <w:rFonts w:ascii="Times New Roman" w:hAnsi="Times New Roman" w:cs="Times New Roman"/>
        </w:rPr>
        <w:t>with Top-Rated Institutions</w:t>
      </w:r>
    </w:p>
    <w:p w14:paraId="77856A1A" w14:textId="77777777" w:rsidR="00F27DA8" w:rsidRPr="00743BC5" w:rsidRDefault="00F27DA8" w:rsidP="00F27DA8">
      <w:pPr>
        <w:pStyle w:val="Default"/>
        <w:numPr>
          <w:ilvl w:val="0"/>
          <w:numId w:val="2"/>
        </w:numPr>
        <w:spacing w:after="24"/>
        <w:ind w:left="0" w:hanging="180"/>
        <w:rPr>
          <w:rFonts w:ascii="Times New Roman" w:hAnsi="Times New Roman" w:cs="Times New Roman"/>
        </w:rPr>
      </w:pPr>
      <w:r w:rsidRPr="00743BC5">
        <w:rPr>
          <w:rFonts w:ascii="Times New Roman" w:hAnsi="Times New Roman" w:cs="Times New Roman"/>
        </w:rPr>
        <w:t>Superior Sensitivity and Specificity Compared to Current Clinical Diagnostic Methodologies</w:t>
      </w:r>
    </w:p>
    <w:p w14:paraId="544457C3" w14:textId="3291C3AC" w:rsidR="00F27DA8" w:rsidRPr="00743BC5" w:rsidRDefault="00F27DA8" w:rsidP="00F27DA8">
      <w:pPr>
        <w:pStyle w:val="Default"/>
        <w:numPr>
          <w:ilvl w:val="0"/>
          <w:numId w:val="2"/>
        </w:numPr>
        <w:spacing w:after="24"/>
        <w:ind w:left="0" w:hanging="180"/>
        <w:rPr>
          <w:rFonts w:ascii="Times New Roman" w:hAnsi="Times New Roman" w:cs="Times New Roman"/>
        </w:rPr>
      </w:pPr>
      <w:r w:rsidRPr="00743BC5">
        <w:rPr>
          <w:rFonts w:ascii="Times New Roman" w:hAnsi="Times New Roman" w:cs="Times New Roman"/>
        </w:rPr>
        <w:t>Reproducible Results Regardless of Age of the Tissue Block</w:t>
      </w:r>
    </w:p>
    <w:p w14:paraId="1D0C5981" w14:textId="5D8A9430" w:rsidR="00985B77" w:rsidRPr="00743BC5" w:rsidRDefault="00985B77" w:rsidP="00985B77">
      <w:pPr>
        <w:pStyle w:val="Default"/>
        <w:numPr>
          <w:ilvl w:val="0"/>
          <w:numId w:val="2"/>
        </w:numPr>
        <w:spacing w:after="24"/>
        <w:ind w:left="0" w:hanging="180"/>
        <w:rPr>
          <w:rFonts w:ascii="Times New Roman" w:hAnsi="Times New Roman" w:cs="Times New Roman"/>
        </w:rPr>
      </w:pPr>
      <w:r w:rsidRPr="00743BC5">
        <w:rPr>
          <w:rFonts w:ascii="Times New Roman" w:hAnsi="Times New Roman" w:cs="Times New Roman"/>
        </w:rPr>
        <w:t>5 Business Days to Report</w:t>
      </w:r>
    </w:p>
    <w:p w14:paraId="7847409F" w14:textId="398E8686" w:rsidR="009C02E1" w:rsidRPr="00743BC5" w:rsidRDefault="00F27DA8" w:rsidP="009C02E1">
      <w:pPr>
        <w:pStyle w:val="Default"/>
        <w:numPr>
          <w:ilvl w:val="0"/>
          <w:numId w:val="2"/>
        </w:numPr>
        <w:spacing w:after="24"/>
        <w:ind w:left="0" w:hanging="180"/>
        <w:rPr>
          <w:rFonts w:ascii="Times New Roman" w:hAnsi="Times New Roman" w:cs="Times New Roman"/>
        </w:rPr>
      </w:pPr>
      <w:r w:rsidRPr="00743BC5">
        <w:rPr>
          <w:rFonts w:ascii="Times New Roman" w:hAnsi="Times New Roman" w:cs="Times New Roman"/>
        </w:rPr>
        <w:t>Cost is reimbursed by Medicare</w:t>
      </w:r>
    </w:p>
    <w:p w14:paraId="016AC6EC" w14:textId="77777777" w:rsidR="009C02E1" w:rsidRPr="00743BC5" w:rsidRDefault="009C02E1" w:rsidP="009C02E1">
      <w:pPr>
        <w:pStyle w:val="Default"/>
        <w:spacing w:after="24"/>
        <w:ind w:left="-360" w:firstLine="360"/>
        <w:rPr>
          <w:rFonts w:ascii="Times New Roman" w:hAnsi="Times New Roman" w:cs="Times New Roman"/>
        </w:rPr>
      </w:pPr>
    </w:p>
    <w:p w14:paraId="739BF239" w14:textId="66E0A814" w:rsidR="00C83763" w:rsidRPr="00743BC5" w:rsidRDefault="00596495" w:rsidP="00C83763">
      <w:pPr>
        <w:pStyle w:val="NoSpacing"/>
        <w:ind w:left="-360" w:right="-360"/>
        <w:jc w:val="both"/>
        <w:rPr>
          <w:rFonts w:ascii="Times New Roman" w:hAnsi="Times New Roman" w:cs="Times New Roman"/>
          <w:sz w:val="24"/>
          <w:szCs w:val="24"/>
        </w:rPr>
      </w:pPr>
      <w:r w:rsidRPr="00743BC5">
        <w:rPr>
          <w:rFonts w:ascii="Times New Roman" w:hAnsi="Times New Roman" w:cs="Times New Roman"/>
          <w:sz w:val="24"/>
          <w:szCs w:val="24"/>
        </w:rPr>
        <w:t>References:</w:t>
      </w:r>
    </w:p>
    <w:p w14:paraId="7290DDE5" w14:textId="545DFC39" w:rsidR="004F2C47" w:rsidRPr="00743BC5" w:rsidRDefault="004F2C47" w:rsidP="00C04A39">
      <w:pPr>
        <w:pStyle w:val="NoSpacing"/>
        <w:numPr>
          <w:ilvl w:val="0"/>
          <w:numId w:val="1"/>
        </w:numPr>
        <w:ind w:right="-360"/>
        <w:jc w:val="both"/>
        <w:rPr>
          <w:rFonts w:ascii="Times New Roman" w:hAnsi="Times New Roman" w:cs="Times New Roman"/>
          <w:sz w:val="24"/>
          <w:szCs w:val="24"/>
        </w:rPr>
      </w:pPr>
      <w:r w:rsidRPr="00743BC5">
        <w:rPr>
          <w:rFonts w:ascii="Times New Roman" w:hAnsi="Times New Roman" w:cs="Times New Roman"/>
          <w:sz w:val="24"/>
          <w:szCs w:val="24"/>
        </w:rPr>
        <w:t>Sievers, E.L</w:t>
      </w:r>
      <w:r w:rsidR="00985B77" w:rsidRPr="00743BC5">
        <w:rPr>
          <w:rFonts w:ascii="Times New Roman" w:hAnsi="Times New Roman" w:cs="Times New Roman"/>
          <w:sz w:val="24"/>
          <w:szCs w:val="24"/>
        </w:rPr>
        <w:t>. and</w:t>
      </w:r>
      <w:r w:rsidRPr="00743BC5">
        <w:rPr>
          <w:rFonts w:ascii="Times New Roman" w:hAnsi="Times New Roman" w:cs="Times New Roman"/>
          <w:sz w:val="24"/>
          <w:szCs w:val="24"/>
        </w:rPr>
        <w:t xml:space="preserve"> </w:t>
      </w:r>
      <w:proofErr w:type="spellStart"/>
      <w:r w:rsidRPr="00743BC5">
        <w:rPr>
          <w:rFonts w:ascii="Times New Roman" w:hAnsi="Times New Roman" w:cs="Times New Roman"/>
          <w:sz w:val="24"/>
          <w:szCs w:val="24"/>
        </w:rPr>
        <w:t>Senter</w:t>
      </w:r>
      <w:proofErr w:type="spellEnd"/>
      <w:r w:rsidRPr="00743BC5">
        <w:rPr>
          <w:rFonts w:ascii="Times New Roman" w:hAnsi="Times New Roman" w:cs="Times New Roman"/>
          <w:sz w:val="24"/>
          <w:szCs w:val="24"/>
        </w:rPr>
        <w:t xml:space="preserve">, P.D. Antibody-Drug Conjugates in Cancer Therapy. </w:t>
      </w:r>
      <w:proofErr w:type="spellStart"/>
      <w:r w:rsidRPr="00743BC5">
        <w:rPr>
          <w:rFonts w:ascii="Times New Roman" w:hAnsi="Times New Roman" w:cs="Times New Roman"/>
          <w:sz w:val="24"/>
          <w:szCs w:val="24"/>
        </w:rPr>
        <w:t>Annu</w:t>
      </w:r>
      <w:proofErr w:type="spellEnd"/>
      <w:r w:rsidRPr="00743BC5">
        <w:rPr>
          <w:rFonts w:ascii="Times New Roman" w:hAnsi="Times New Roman" w:cs="Times New Roman"/>
          <w:sz w:val="24"/>
          <w:szCs w:val="24"/>
        </w:rPr>
        <w:t>. Rev. Med. 2013, 64, 15–29</w:t>
      </w:r>
      <w:r w:rsidR="00985B77" w:rsidRPr="00743BC5">
        <w:rPr>
          <w:rFonts w:ascii="Times New Roman" w:hAnsi="Times New Roman" w:cs="Times New Roman"/>
          <w:sz w:val="24"/>
          <w:szCs w:val="24"/>
        </w:rPr>
        <w:t xml:space="preserve"> (2013)</w:t>
      </w:r>
    </w:p>
    <w:p w14:paraId="48C642A2" w14:textId="117461CC" w:rsidR="004F2C47" w:rsidRPr="00743BC5" w:rsidRDefault="00DB3B51" w:rsidP="00C04A39">
      <w:pPr>
        <w:pStyle w:val="NoSpacing"/>
        <w:numPr>
          <w:ilvl w:val="0"/>
          <w:numId w:val="1"/>
        </w:numPr>
        <w:ind w:right="-360"/>
        <w:jc w:val="both"/>
        <w:rPr>
          <w:rFonts w:ascii="Times New Roman" w:hAnsi="Times New Roman" w:cs="Times New Roman"/>
          <w:sz w:val="24"/>
          <w:szCs w:val="24"/>
        </w:rPr>
      </w:pPr>
      <w:r w:rsidRPr="00743BC5">
        <w:rPr>
          <w:rFonts w:ascii="Times New Roman" w:hAnsi="Times New Roman" w:cs="Times New Roman"/>
          <w:sz w:val="24"/>
          <w:szCs w:val="24"/>
        </w:rPr>
        <w:t>Fu, Z.</w:t>
      </w:r>
      <w:r w:rsidR="00985B77" w:rsidRPr="00743BC5">
        <w:rPr>
          <w:rFonts w:ascii="Times New Roman" w:hAnsi="Times New Roman" w:cs="Times New Roman"/>
          <w:sz w:val="24"/>
          <w:szCs w:val="24"/>
        </w:rPr>
        <w:t xml:space="preserve"> </w:t>
      </w:r>
      <w:r w:rsidRPr="00743BC5">
        <w:rPr>
          <w:rFonts w:ascii="Times New Roman" w:hAnsi="Times New Roman" w:cs="Times New Roman"/>
          <w:sz w:val="24"/>
          <w:szCs w:val="24"/>
        </w:rPr>
        <w:t xml:space="preserve">et al. Antibody drug conjugate: the “biological missile” for targeted cancer therapy. Sig </w:t>
      </w:r>
      <w:proofErr w:type="spellStart"/>
      <w:r w:rsidRPr="00743BC5">
        <w:rPr>
          <w:rFonts w:ascii="Times New Roman" w:hAnsi="Times New Roman" w:cs="Times New Roman"/>
          <w:sz w:val="24"/>
          <w:szCs w:val="24"/>
        </w:rPr>
        <w:t>Transduct</w:t>
      </w:r>
      <w:proofErr w:type="spellEnd"/>
      <w:r w:rsidRPr="00743BC5">
        <w:rPr>
          <w:rFonts w:ascii="Times New Roman" w:hAnsi="Times New Roman" w:cs="Times New Roman"/>
          <w:sz w:val="24"/>
          <w:szCs w:val="24"/>
        </w:rPr>
        <w:t xml:space="preserve"> Target </w:t>
      </w:r>
      <w:proofErr w:type="spellStart"/>
      <w:r w:rsidRPr="00743BC5">
        <w:rPr>
          <w:rFonts w:ascii="Times New Roman" w:hAnsi="Times New Roman" w:cs="Times New Roman"/>
          <w:sz w:val="24"/>
          <w:szCs w:val="24"/>
        </w:rPr>
        <w:t>Ther</w:t>
      </w:r>
      <w:proofErr w:type="spellEnd"/>
      <w:r w:rsidRPr="00743BC5">
        <w:rPr>
          <w:rFonts w:ascii="Times New Roman" w:hAnsi="Times New Roman" w:cs="Times New Roman"/>
          <w:sz w:val="24"/>
          <w:szCs w:val="24"/>
        </w:rPr>
        <w:t xml:space="preserve"> </w:t>
      </w:r>
      <w:r w:rsidRPr="00743BC5">
        <w:rPr>
          <w:rFonts w:ascii="Times New Roman" w:hAnsi="Times New Roman" w:cs="Times New Roman"/>
          <w:b/>
          <w:bCs/>
          <w:sz w:val="24"/>
          <w:szCs w:val="24"/>
        </w:rPr>
        <w:t>7</w:t>
      </w:r>
      <w:r w:rsidRPr="00743BC5">
        <w:rPr>
          <w:rFonts w:ascii="Times New Roman" w:hAnsi="Times New Roman" w:cs="Times New Roman"/>
          <w:sz w:val="24"/>
          <w:szCs w:val="24"/>
        </w:rPr>
        <w:t xml:space="preserve">, 93 </w:t>
      </w:r>
      <w:r w:rsidR="00985B77" w:rsidRPr="00743BC5">
        <w:rPr>
          <w:rFonts w:ascii="Times New Roman" w:hAnsi="Times New Roman" w:cs="Times New Roman"/>
          <w:sz w:val="24"/>
          <w:szCs w:val="24"/>
        </w:rPr>
        <w:t>https://doi.org/10.1038/s41392-022-00947-7 (2022)</w:t>
      </w:r>
    </w:p>
    <w:p w14:paraId="647AD592" w14:textId="5ABD254B" w:rsidR="000132E3" w:rsidRPr="00743BC5" w:rsidRDefault="000132E3" w:rsidP="000132E3">
      <w:pPr>
        <w:pStyle w:val="NoSpacing"/>
        <w:numPr>
          <w:ilvl w:val="0"/>
          <w:numId w:val="1"/>
        </w:numPr>
        <w:ind w:right="-360"/>
        <w:jc w:val="both"/>
        <w:rPr>
          <w:rFonts w:ascii="Times New Roman" w:hAnsi="Times New Roman" w:cs="Times New Roman"/>
          <w:sz w:val="24"/>
          <w:szCs w:val="24"/>
        </w:rPr>
      </w:pPr>
      <w:proofErr w:type="spellStart"/>
      <w:r w:rsidRPr="00743BC5">
        <w:rPr>
          <w:rFonts w:ascii="Times New Roman" w:hAnsi="Times New Roman" w:cs="Times New Roman"/>
          <w:sz w:val="24"/>
          <w:szCs w:val="24"/>
        </w:rPr>
        <w:t>Hembrough</w:t>
      </w:r>
      <w:proofErr w:type="spellEnd"/>
      <w:r w:rsidRPr="00743BC5">
        <w:rPr>
          <w:rFonts w:ascii="Times New Roman" w:hAnsi="Times New Roman" w:cs="Times New Roman"/>
          <w:sz w:val="24"/>
          <w:szCs w:val="24"/>
        </w:rPr>
        <w:t xml:space="preserve"> et al. (2013)Application of Selected Reaction Monitoring for Multiplex Quantification of Clinically Validated Biomarkers in Formalin-Fixed, Paraffin-Embedded Tumor Tissue. Journal of Molecular Diagnostics. 15(4):454-465</w:t>
      </w:r>
      <w:r w:rsidR="00985B77" w:rsidRPr="00743BC5">
        <w:rPr>
          <w:rFonts w:ascii="Times New Roman" w:hAnsi="Times New Roman" w:cs="Times New Roman"/>
          <w:sz w:val="24"/>
          <w:szCs w:val="24"/>
        </w:rPr>
        <w:t xml:space="preserve"> (2013)</w:t>
      </w:r>
    </w:p>
    <w:p w14:paraId="53393019" w14:textId="2DFBA3D0" w:rsidR="00676F5B" w:rsidRPr="00743BC5" w:rsidRDefault="009E3C95" w:rsidP="004F2C47">
      <w:pPr>
        <w:pStyle w:val="NoSpacing"/>
        <w:numPr>
          <w:ilvl w:val="0"/>
          <w:numId w:val="1"/>
        </w:numPr>
        <w:ind w:right="-360"/>
        <w:jc w:val="both"/>
        <w:rPr>
          <w:rFonts w:ascii="Times New Roman" w:hAnsi="Times New Roman" w:cs="Times New Roman"/>
          <w:sz w:val="24"/>
          <w:szCs w:val="24"/>
        </w:rPr>
      </w:pPr>
      <w:r w:rsidRPr="00743BC5">
        <w:rPr>
          <w:rFonts w:ascii="Times New Roman" w:hAnsi="Times New Roman" w:cs="Times New Roman"/>
          <w:sz w:val="24"/>
          <w:szCs w:val="24"/>
        </w:rPr>
        <w:t xml:space="preserve">Tong et al. </w:t>
      </w:r>
      <w:r w:rsidR="00985B77" w:rsidRPr="00743BC5">
        <w:rPr>
          <w:rFonts w:ascii="Times New Roman" w:hAnsi="Times New Roman" w:cs="Times New Roman"/>
          <w:sz w:val="24"/>
          <w:szCs w:val="24"/>
        </w:rPr>
        <w:t>An Insight into FDA Approved Antibody-Drug Conjugates for Cancer Therapy</w:t>
      </w:r>
      <w:r w:rsidR="00985B77" w:rsidRPr="00743BC5">
        <w:rPr>
          <w:rFonts w:ascii="Times New Roman" w:hAnsi="Times New Roman" w:cs="Times New Roman"/>
          <w:sz w:val="24"/>
          <w:szCs w:val="24"/>
        </w:rPr>
        <w:t xml:space="preserve">. </w:t>
      </w:r>
      <w:r w:rsidR="00985B77" w:rsidRPr="00743BC5">
        <w:rPr>
          <w:rFonts w:ascii="Times New Roman" w:hAnsi="Times New Roman" w:cs="Times New Roman"/>
          <w:sz w:val="24"/>
          <w:szCs w:val="24"/>
        </w:rPr>
        <w:t>Molecules. Oct; 26(19): 5847</w:t>
      </w:r>
      <w:r w:rsidR="00985B77" w:rsidRPr="00743BC5">
        <w:rPr>
          <w:rFonts w:ascii="Times New Roman" w:hAnsi="Times New Roman" w:cs="Times New Roman"/>
          <w:sz w:val="24"/>
          <w:szCs w:val="24"/>
        </w:rPr>
        <w:t xml:space="preserve"> (2021)</w:t>
      </w:r>
    </w:p>
    <w:sectPr w:rsidR="00676F5B" w:rsidRPr="00743BC5" w:rsidSect="009C02E1">
      <w:headerReference w:type="default" r:id="rId14"/>
      <w:pgSz w:w="12240" w:h="15840"/>
      <w:pgMar w:top="171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63DF" w14:textId="77777777" w:rsidR="00695608" w:rsidRDefault="00695608" w:rsidP="00567741">
      <w:r>
        <w:separator/>
      </w:r>
    </w:p>
  </w:endnote>
  <w:endnote w:type="continuationSeparator" w:id="0">
    <w:p w14:paraId="47F36E66" w14:textId="77777777" w:rsidR="00695608" w:rsidRDefault="00695608" w:rsidP="0056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716B" w14:textId="77777777" w:rsidR="00695608" w:rsidRDefault="00695608" w:rsidP="00567741">
      <w:r>
        <w:separator/>
      </w:r>
    </w:p>
  </w:footnote>
  <w:footnote w:type="continuationSeparator" w:id="0">
    <w:p w14:paraId="489DCECC" w14:textId="77777777" w:rsidR="00695608" w:rsidRDefault="00695608" w:rsidP="00567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AFB5" w14:textId="5F7E2964" w:rsidR="00EB653B" w:rsidRPr="00AA400D" w:rsidRDefault="00CB2A26">
    <w:pPr>
      <w:pStyle w:val="Header"/>
      <w:rPr>
        <w:rFonts w:ascii="Times New Roman" w:hAnsi="Times New Roman" w:cs="Times New Roman"/>
        <w:sz w:val="22"/>
        <w:szCs w:val="22"/>
      </w:rPr>
    </w:pPr>
    <w:r>
      <w:rPr>
        <w:rFonts w:ascii="Times New Roman" w:hAnsi="Times New Roman" w:cs="Times New Roman"/>
        <w:sz w:val="22"/>
        <w:szCs w:val="22"/>
      </w:rPr>
      <w:t xml:space="preserve">Whitepaper: Antibody-Drug Conjugates:                </w:t>
    </w:r>
    <w:r w:rsidR="004F266E">
      <w:rPr>
        <w:rFonts w:ascii="Times New Roman" w:hAnsi="Times New Roman" w:cs="Times New Roman"/>
        <w:sz w:val="22"/>
        <w:szCs w:val="22"/>
      </w:rPr>
      <w:t>David Krizman, PhD</w:t>
    </w:r>
    <w:r>
      <w:rPr>
        <w:rFonts w:ascii="Times New Roman" w:hAnsi="Times New Roman" w:cs="Times New Roman"/>
        <w:sz w:val="22"/>
        <w:szCs w:val="22"/>
      </w:rPr>
      <w:tab/>
    </w:r>
    <w:r w:rsidR="00BF5E6E">
      <w:rPr>
        <w:rFonts w:ascii="Times New Roman" w:hAnsi="Times New Roman" w:cs="Times New Roman"/>
        <w:sz w:val="22"/>
        <w:szCs w:val="22"/>
      </w:rPr>
      <w:t>9</w:t>
    </w:r>
    <w:r>
      <w:rPr>
        <w:rFonts w:ascii="Times New Roman" w:hAnsi="Times New Roman" w:cs="Times New Roman"/>
        <w:sz w:val="22"/>
        <w:szCs w:val="22"/>
      </w:rPr>
      <w:t>/</w:t>
    </w:r>
    <w:r w:rsidR="00183105">
      <w:rPr>
        <w:rFonts w:ascii="Times New Roman" w:hAnsi="Times New Roman" w:cs="Times New Roman"/>
        <w:sz w:val="22"/>
        <w:szCs w:val="22"/>
      </w:rPr>
      <w:t>6</w:t>
    </w:r>
    <w:r w:rsidR="00BF5E6E">
      <w:rPr>
        <w:rFonts w:ascii="Times New Roman" w:hAnsi="Times New Roman" w:cs="Times New Roman"/>
        <w:sz w:val="22"/>
        <w:szCs w:val="22"/>
      </w:rPr>
      <w:t>/</w:t>
    </w:r>
    <w:r>
      <w:rPr>
        <w:rFonts w:ascii="Times New Roman" w:hAnsi="Times New Roman" w:cs="Times New Roman"/>
        <w:sz w:val="22"/>
        <w:szCs w:val="22"/>
      </w:rPr>
      <w:t>2022</w:t>
    </w:r>
  </w:p>
  <w:p w14:paraId="1055A20B" w14:textId="77777777" w:rsidR="00EB653B" w:rsidRDefault="00EB6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ACA"/>
    <w:multiLevelType w:val="hybridMultilevel"/>
    <w:tmpl w:val="0C0EBD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2586ED7"/>
    <w:multiLevelType w:val="hybridMultilevel"/>
    <w:tmpl w:val="D5803D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3099059">
    <w:abstractNumId w:val="1"/>
  </w:num>
  <w:num w:numId="2" w16cid:durableId="73971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266"/>
    <w:rsid w:val="00001B78"/>
    <w:rsid w:val="00005CB3"/>
    <w:rsid w:val="000113AC"/>
    <w:rsid w:val="000128A3"/>
    <w:rsid w:val="000132E3"/>
    <w:rsid w:val="000153BB"/>
    <w:rsid w:val="0002015A"/>
    <w:rsid w:val="00023C7E"/>
    <w:rsid w:val="000263A0"/>
    <w:rsid w:val="00030F66"/>
    <w:rsid w:val="000347A6"/>
    <w:rsid w:val="00036717"/>
    <w:rsid w:val="00041112"/>
    <w:rsid w:val="0004150E"/>
    <w:rsid w:val="00050F7F"/>
    <w:rsid w:val="000576AB"/>
    <w:rsid w:val="0007010C"/>
    <w:rsid w:val="000737BC"/>
    <w:rsid w:val="0007489B"/>
    <w:rsid w:val="00083A0D"/>
    <w:rsid w:val="00084C8E"/>
    <w:rsid w:val="00085BDA"/>
    <w:rsid w:val="0009049B"/>
    <w:rsid w:val="000957B2"/>
    <w:rsid w:val="00097EBA"/>
    <w:rsid w:val="000A4B8A"/>
    <w:rsid w:val="000A58A5"/>
    <w:rsid w:val="000B1571"/>
    <w:rsid w:val="000B2345"/>
    <w:rsid w:val="000B2541"/>
    <w:rsid w:val="000B293E"/>
    <w:rsid w:val="000B5059"/>
    <w:rsid w:val="000B668F"/>
    <w:rsid w:val="000B7D6C"/>
    <w:rsid w:val="000C721A"/>
    <w:rsid w:val="000D02FD"/>
    <w:rsid w:val="000D1F1A"/>
    <w:rsid w:val="000D25C0"/>
    <w:rsid w:val="000D4A75"/>
    <w:rsid w:val="000D7176"/>
    <w:rsid w:val="000E319E"/>
    <w:rsid w:val="000E524F"/>
    <w:rsid w:val="000E5EB9"/>
    <w:rsid w:val="000F076D"/>
    <w:rsid w:val="000F3788"/>
    <w:rsid w:val="000F597B"/>
    <w:rsid w:val="000F78A9"/>
    <w:rsid w:val="000F7C08"/>
    <w:rsid w:val="00105B40"/>
    <w:rsid w:val="0011518E"/>
    <w:rsid w:val="001157BF"/>
    <w:rsid w:val="00116744"/>
    <w:rsid w:val="0012353F"/>
    <w:rsid w:val="0012684F"/>
    <w:rsid w:val="001270CE"/>
    <w:rsid w:val="00134ADD"/>
    <w:rsid w:val="001401AC"/>
    <w:rsid w:val="0014641A"/>
    <w:rsid w:val="00150856"/>
    <w:rsid w:val="001532BA"/>
    <w:rsid w:val="001535C2"/>
    <w:rsid w:val="00154E94"/>
    <w:rsid w:val="001555B7"/>
    <w:rsid w:val="00155AF5"/>
    <w:rsid w:val="0015630D"/>
    <w:rsid w:val="0016037A"/>
    <w:rsid w:val="00161B26"/>
    <w:rsid w:val="00164F18"/>
    <w:rsid w:val="00165F8C"/>
    <w:rsid w:val="00173514"/>
    <w:rsid w:val="0017371D"/>
    <w:rsid w:val="0017473F"/>
    <w:rsid w:val="00181783"/>
    <w:rsid w:val="00183105"/>
    <w:rsid w:val="0018400B"/>
    <w:rsid w:val="001848E6"/>
    <w:rsid w:val="00191261"/>
    <w:rsid w:val="00192041"/>
    <w:rsid w:val="00196060"/>
    <w:rsid w:val="001A0138"/>
    <w:rsid w:val="001A0301"/>
    <w:rsid w:val="001A3C5A"/>
    <w:rsid w:val="001A4F3F"/>
    <w:rsid w:val="001B0E6D"/>
    <w:rsid w:val="001B1B6C"/>
    <w:rsid w:val="001B1F35"/>
    <w:rsid w:val="001B7F27"/>
    <w:rsid w:val="001C0F60"/>
    <w:rsid w:val="001C11C4"/>
    <w:rsid w:val="001C2D15"/>
    <w:rsid w:val="001C3555"/>
    <w:rsid w:val="001C622D"/>
    <w:rsid w:val="001D1023"/>
    <w:rsid w:val="001D16F4"/>
    <w:rsid w:val="001D2617"/>
    <w:rsid w:val="001D62CF"/>
    <w:rsid w:val="001D7D95"/>
    <w:rsid w:val="001E3D48"/>
    <w:rsid w:val="001E44A7"/>
    <w:rsid w:val="001E4C69"/>
    <w:rsid w:val="001E6971"/>
    <w:rsid w:val="001E743B"/>
    <w:rsid w:val="001F2E85"/>
    <w:rsid w:val="001F388B"/>
    <w:rsid w:val="00201270"/>
    <w:rsid w:val="00202DA4"/>
    <w:rsid w:val="00212875"/>
    <w:rsid w:val="00212C31"/>
    <w:rsid w:val="00216266"/>
    <w:rsid w:val="002206BB"/>
    <w:rsid w:val="00222D08"/>
    <w:rsid w:val="00223130"/>
    <w:rsid w:val="00224A1A"/>
    <w:rsid w:val="00225894"/>
    <w:rsid w:val="00227815"/>
    <w:rsid w:val="00227E9B"/>
    <w:rsid w:val="00231331"/>
    <w:rsid w:val="002318C2"/>
    <w:rsid w:val="00231EE9"/>
    <w:rsid w:val="0023213B"/>
    <w:rsid w:val="00232EC7"/>
    <w:rsid w:val="002410F8"/>
    <w:rsid w:val="0024115A"/>
    <w:rsid w:val="00243CCA"/>
    <w:rsid w:val="00256750"/>
    <w:rsid w:val="00270C88"/>
    <w:rsid w:val="00273DBD"/>
    <w:rsid w:val="002777D0"/>
    <w:rsid w:val="00280A55"/>
    <w:rsid w:val="002848FA"/>
    <w:rsid w:val="00286D86"/>
    <w:rsid w:val="002A0221"/>
    <w:rsid w:val="002A10F0"/>
    <w:rsid w:val="002A2475"/>
    <w:rsid w:val="002A4455"/>
    <w:rsid w:val="002B06FB"/>
    <w:rsid w:val="002B383A"/>
    <w:rsid w:val="002C2B6F"/>
    <w:rsid w:val="002D279D"/>
    <w:rsid w:val="002D7B3C"/>
    <w:rsid w:val="002F2665"/>
    <w:rsid w:val="002F4742"/>
    <w:rsid w:val="00306797"/>
    <w:rsid w:val="00307452"/>
    <w:rsid w:val="00307DFB"/>
    <w:rsid w:val="00312871"/>
    <w:rsid w:val="00313D7D"/>
    <w:rsid w:val="0032049E"/>
    <w:rsid w:val="00323E37"/>
    <w:rsid w:val="00323E95"/>
    <w:rsid w:val="003241E5"/>
    <w:rsid w:val="00325E78"/>
    <w:rsid w:val="00326258"/>
    <w:rsid w:val="00330A13"/>
    <w:rsid w:val="00340D14"/>
    <w:rsid w:val="003437FA"/>
    <w:rsid w:val="00347F16"/>
    <w:rsid w:val="00360DA5"/>
    <w:rsid w:val="00363A1B"/>
    <w:rsid w:val="00363B03"/>
    <w:rsid w:val="0036400C"/>
    <w:rsid w:val="00367731"/>
    <w:rsid w:val="00377AF0"/>
    <w:rsid w:val="003856A9"/>
    <w:rsid w:val="00386BA6"/>
    <w:rsid w:val="00391358"/>
    <w:rsid w:val="00393B26"/>
    <w:rsid w:val="003951B2"/>
    <w:rsid w:val="003A3781"/>
    <w:rsid w:val="003B4355"/>
    <w:rsid w:val="003B44B4"/>
    <w:rsid w:val="003B63BE"/>
    <w:rsid w:val="003B75EF"/>
    <w:rsid w:val="003B7F57"/>
    <w:rsid w:val="003C1066"/>
    <w:rsid w:val="003E1D96"/>
    <w:rsid w:val="003E3A38"/>
    <w:rsid w:val="003E5EF9"/>
    <w:rsid w:val="003F0785"/>
    <w:rsid w:val="003F25F2"/>
    <w:rsid w:val="003F744B"/>
    <w:rsid w:val="00403F22"/>
    <w:rsid w:val="00403FBF"/>
    <w:rsid w:val="004049E2"/>
    <w:rsid w:val="004052BD"/>
    <w:rsid w:val="0040537F"/>
    <w:rsid w:val="00413DCE"/>
    <w:rsid w:val="00414383"/>
    <w:rsid w:val="00417969"/>
    <w:rsid w:val="00417C5E"/>
    <w:rsid w:val="00420AA0"/>
    <w:rsid w:val="004237D5"/>
    <w:rsid w:val="004279FC"/>
    <w:rsid w:val="00436F26"/>
    <w:rsid w:val="004408CF"/>
    <w:rsid w:val="00442A99"/>
    <w:rsid w:val="00444050"/>
    <w:rsid w:val="0044699B"/>
    <w:rsid w:val="00450DBD"/>
    <w:rsid w:val="004512DB"/>
    <w:rsid w:val="004602CB"/>
    <w:rsid w:val="004609DD"/>
    <w:rsid w:val="004640CC"/>
    <w:rsid w:val="00466219"/>
    <w:rsid w:val="0047337F"/>
    <w:rsid w:val="00480504"/>
    <w:rsid w:val="00480AE7"/>
    <w:rsid w:val="0049381F"/>
    <w:rsid w:val="0049480C"/>
    <w:rsid w:val="00494A59"/>
    <w:rsid w:val="004952AD"/>
    <w:rsid w:val="00495CBC"/>
    <w:rsid w:val="004971E8"/>
    <w:rsid w:val="004B0F25"/>
    <w:rsid w:val="004C3ECB"/>
    <w:rsid w:val="004C53B1"/>
    <w:rsid w:val="004C565D"/>
    <w:rsid w:val="004D3EBF"/>
    <w:rsid w:val="004D7EFF"/>
    <w:rsid w:val="004E2769"/>
    <w:rsid w:val="004E430C"/>
    <w:rsid w:val="004E4B71"/>
    <w:rsid w:val="004E4B7D"/>
    <w:rsid w:val="004E7E0F"/>
    <w:rsid w:val="004F266E"/>
    <w:rsid w:val="004F2C47"/>
    <w:rsid w:val="004F3DDA"/>
    <w:rsid w:val="004F624B"/>
    <w:rsid w:val="00502122"/>
    <w:rsid w:val="005041A0"/>
    <w:rsid w:val="00504652"/>
    <w:rsid w:val="0051597D"/>
    <w:rsid w:val="00516777"/>
    <w:rsid w:val="005221D3"/>
    <w:rsid w:val="00524F39"/>
    <w:rsid w:val="0052647D"/>
    <w:rsid w:val="00527B9F"/>
    <w:rsid w:val="00537E55"/>
    <w:rsid w:val="00544CC4"/>
    <w:rsid w:val="00546513"/>
    <w:rsid w:val="00552341"/>
    <w:rsid w:val="0055532E"/>
    <w:rsid w:val="005607C3"/>
    <w:rsid w:val="00567741"/>
    <w:rsid w:val="00567904"/>
    <w:rsid w:val="0057190D"/>
    <w:rsid w:val="00574A87"/>
    <w:rsid w:val="00585A9F"/>
    <w:rsid w:val="00585F93"/>
    <w:rsid w:val="005864F5"/>
    <w:rsid w:val="00590F0C"/>
    <w:rsid w:val="00596495"/>
    <w:rsid w:val="005A5847"/>
    <w:rsid w:val="005A5E93"/>
    <w:rsid w:val="005A6594"/>
    <w:rsid w:val="005B2EA6"/>
    <w:rsid w:val="005B5D3F"/>
    <w:rsid w:val="005B6FED"/>
    <w:rsid w:val="005D010C"/>
    <w:rsid w:val="005D05E7"/>
    <w:rsid w:val="005D0922"/>
    <w:rsid w:val="005D7A58"/>
    <w:rsid w:val="005E1CEB"/>
    <w:rsid w:val="005E3B0F"/>
    <w:rsid w:val="005E49C8"/>
    <w:rsid w:val="005E705B"/>
    <w:rsid w:val="005E738D"/>
    <w:rsid w:val="005F19C2"/>
    <w:rsid w:val="005F3A18"/>
    <w:rsid w:val="00600FCB"/>
    <w:rsid w:val="006017F0"/>
    <w:rsid w:val="006036ED"/>
    <w:rsid w:val="00604237"/>
    <w:rsid w:val="0060765B"/>
    <w:rsid w:val="006104D4"/>
    <w:rsid w:val="006105DD"/>
    <w:rsid w:val="00613CE1"/>
    <w:rsid w:val="00626E28"/>
    <w:rsid w:val="006319DD"/>
    <w:rsid w:val="006341A7"/>
    <w:rsid w:val="00637606"/>
    <w:rsid w:val="00640C99"/>
    <w:rsid w:val="0064145E"/>
    <w:rsid w:val="0065618D"/>
    <w:rsid w:val="00657819"/>
    <w:rsid w:val="006619CE"/>
    <w:rsid w:val="0066298D"/>
    <w:rsid w:val="00662E2A"/>
    <w:rsid w:val="0066520A"/>
    <w:rsid w:val="00667005"/>
    <w:rsid w:val="00670D52"/>
    <w:rsid w:val="0067345F"/>
    <w:rsid w:val="00676F5B"/>
    <w:rsid w:val="00692D2F"/>
    <w:rsid w:val="00693557"/>
    <w:rsid w:val="00695608"/>
    <w:rsid w:val="006A15DB"/>
    <w:rsid w:val="006A3A7C"/>
    <w:rsid w:val="006A4A74"/>
    <w:rsid w:val="006A5D6B"/>
    <w:rsid w:val="006B5343"/>
    <w:rsid w:val="006C6998"/>
    <w:rsid w:val="006C778B"/>
    <w:rsid w:val="006D48B1"/>
    <w:rsid w:val="006D633D"/>
    <w:rsid w:val="006E1541"/>
    <w:rsid w:val="006E4963"/>
    <w:rsid w:val="006E6557"/>
    <w:rsid w:val="006E6E05"/>
    <w:rsid w:val="006F0142"/>
    <w:rsid w:val="006F5DFC"/>
    <w:rsid w:val="006F63E7"/>
    <w:rsid w:val="00705CBB"/>
    <w:rsid w:val="0071008A"/>
    <w:rsid w:val="00710FAB"/>
    <w:rsid w:val="00712FEC"/>
    <w:rsid w:val="00715A01"/>
    <w:rsid w:val="00720393"/>
    <w:rsid w:val="00720C49"/>
    <w:rsid w:val="00731784"/>
    <w:rsid w:val="007320AB"/>
    <w:rsid w:val="0073333A"/>
    <w:rsid w:val="007343DC"/>
    <w:rsid w:val="00735131"/>
    <w:rsid w:val="007361F7"/>
    <w:rsid w:val="00737552"/>
    <w:rsid w:val="00740E1A"/>
    <w:rsid w:val="007415EC"/>
    <w:rsid w:val="00742C60"/>
    <w:rsid w:val="00743BC5"/>
    <w:rsid w:val="00756730"/>
    <w:rsid w:val="0076048C"/>
    <w:rsid w:val="00762DC5"/>
    <w:rsid w:val="00773736"/>
    <w:rsid w:val="007756AB"/>
    <w:rsid w:val="00783747"/>
    <w:rsid w:val="00790E34"/>
    <w:rsid w:val="00793D04"/>
    <w:rsid w:val="00794B1C"/>
    <w:rsid w:val="007A0FC2"/>
    <w:rsid w:val="007A2F9F"/>
    <w:rsid w:val="007A3FDF"/>
    <w:rsid w:val="007B01BA"/>
    <w:rsid w:val="007B0C50"/>
    <w:rsid w:val="007B1076"/>
    <w:rsid w:val="007B5E33"/>
    <w:rsid w:val="007C5625"/>
    <w:rsid w:val="007C700F"/>
    <w:rsid w:val="007D356B"/>
    <w:rsid w:val="007D443E"/>
    <w:rsid w:val="007D477E"/>
    <w:rsid w:val="007E39EC"/>
    <w:rsid w:val="007E58E9"/>
    <w:rsid w:val="007E7E70"/>
    <w:rsid w:val="007F1BC1"/>
    <w:rsid w:val="007F2687"/>
    <w:rsid w:val="008007B9"/>
    <w:rsid w:val="00806362"/>
    <w:rsid w:val="00806967"/>
    <w:rsid w:val="008107C1"/>
    <w:rsid w:val="00811F0F"/>
    <w:rsid w:val="008217C3"/>
    <w:rsid w:val="00823767"/>
    <w:rsid w:val="008306BD"/>
    <w:rsid w:val="00830EEE"/>
    <w:rsid w:val="00832F43"/>
    <w:rsid w:val="00835C2E"/>
    <w:rsid w:val="00836144"/>
    <w:rsid w:val="00837B80"/>
    <w:rsid w:val="00840414"/>
    <w:rsid w:val="008407C3"/>
    <w:rsid w:val="00843CBC"/>
    <w:rsid w:val="00850060"/>
    <w:rsid w:val="008538A7"/>
    <w:rsid w:val="008539D6"/>
    <w:rsid w:val="00856742"/>
    <w:rsid w:val="00856C69"/>
    <w:rsid w:val="00857E03"/>
    <w:rsid w:val="00866214"/>
    <w:rsid w:val="00867078"/>
    <w:rsid w:val="00870EC3"/>
    <w:rsid w:val="0087226D"/>
    <w:rsid w:val="00874A51"/>
    <w:rsid w:val="008810A8"/>
    <w:rsid w:val="00891B6C"/>
    <w:rsid w:val="00891C02"/>
    <w:rsid w:val="008A477C"/>
    <w:rsid w:val="008A5A24"/>
    <w:rsid w:val="008A615A"/>
    <w:rsid w:val="008B1A85"/>
    <w:rsid w:val="008C4AA0"/>
    <w:rsid w:val="008C7FE3"/>
    <w:rsid w:val="008D4127"/>
    <w:rsid w:val="008D5627"/>
    <w:rsid w:val="008E5DA1"/>
    <w:rsid w:val="008F24ED"/>
    <w:rsid w:val="009011F6"/>
    <w:rsid w:val="00912108"/>
    <w:rsid w:val="00912CD1"/>
    <w:rsid w:val="0091585C"/>
    <w:rsid w:val="009216C8"/>
    <w:rsid w:val="00921919"/>
    <w:rsid w:val="00922A41"/>
    <w:rsid w:val="0092356F"/>
    <w:rsid w:val="00924014"/>
    <w:rsid w:val="0092754D"/>
    <w:rsid w:val="00942E0A"/>
    <w:rsid w:val="00954598"/>
    <w:rsid w:val="0095535F"/>
    <w:rsid w:val="00956823"/>
    <w:rsid w:val="00960C67"/>
    <w:rsid w:val="00961A25"/>
    <w:rsid w:val="00961E47"/>
    <w:rsid w:val="00965468"/>
    <w:rsid w:val="00974623"/>
    <w:rsid w:val="00974C75"/>
    <w:rsid w:val="00982C05"/>
    <w:rsid w:val="009843A8"/>
    <w:rsid w:val="00985B77"/>
    <w:rsid w:val="00990C08"/>
    <w:rsid w:val="00992A0B"/>
    <w:rsid w:val="009962F1"/>
    <w:rsid w:val="00997072"/>
    <w:rsid w:val="00997ACD"/>
    <w:rsid w:val="00997B05"/>
    <w:rsid w:val="009A1EA9"/>
    <w:rsid w:val="009A2068"/>
    <w:rsid w:val="009A286E"/>
    <w:rsid w:val="009A393B"/>
    <w:rsid w:val="009A48B9"/>
    <w:rsid w:val="009B18F6"/>
    <w:rsid w:val="009B22B5"/>
    <w:rsid w:val="009B3FC9"/>
    <w:rsid w:val="009B4A42"/>
    <w:rsid w:val="009B5CE7"/>
    <w:rsid w:val="009C02E1"/>
    <w:rsid w:val="009C0E58"/>
    <w:rsid w:val="009C1DBE"/>
    <w:rsid w:val="009C2EC5"/>
    <w:rsid w:val="009C3133"/>
    <w:rsid w:val="009D21EB"/>
    <w:rsid w:val="009D25EA"/>
    <w:rsid w:val="009D7D15"/>
    <w:rsid w:val="009E3C95"/>
    <w:rsid w:val="009E7500"/>
    <w:rsid w:val="009F0ED7"/>
    <w:rsid w:val="009F1496"/>
    <w:rsid w:val="009F5A54"/>
    <w:rsid w:val="00A02AE7"/>
    <w:rsid w:val="00A033FC"/>
    <w:rsid w:val="00A06553"/>
    <w:rsid w:val="00A0666E"/>
    <w:rsid w:val="00A07B41"/>
    <w:rsid w:val="00A13B8C"/>
    <w:rsid w:val="00A15EC0"/>
    <w:rsid w:val="00A244B5"/>
    <w:rsid w:val="00A2578D"/>
    <w:rsid w:val="00A25B5B"/>
    <w:rsid w:val="00A27C6F"/>
    <w:rsid w:val="00A344DF"/>
    <w:rsid w:val="00A40637"/>
    <w:rsid w:val="00A46118"/>
    <w:rsid w:val="00A51696"/>
    <w:rsid w:val="00A60905"/>
    <w:rsid w:val="00A62DB5"/>
    <w:rsid w:val="00A63057"/>
    <w:rsid w:val="00A70059"/>
    <w:rsid w:val="00A71A76"/>
    <w:rsid w:val="00A77431"/>
    <w:rsid w:val="00A81D58"/>
    <w:rsid w:val="00A84AB6"/>
    <w:rsid w:val="00A862FF"/>
    <w:rsid w:val="00A873C8"/>
    <w:rsid w:val="00A9476E"/>
    <w:rsid w:val="00A94E61"/>
    <w:rsid w:val="00A97B8D"/>
    <w:rsid w:val="00AA2614"/>
    <w:rsid w:val="00AA400D"/>
    <w:rsid w:val="00AA7805"/>
    <w:rsid w:val="00AB06F3"/>
    <w:rsid w:val="00AB1145"/>
    <w:rsid w:val="00AB4A5B"/>
    <w:rsid w:val="00AB5B0D"/>
    <w:rsid w:val="00AC02F2"/>
    <w:rsid w:val="00AC1674"/>
    <w:rsid w:val="00AC1A96"/>
    <w:rsid w:val="00AC4023"/>
    <w:rsid w:val="00AD7237"/>
    <w:rsid w:val="00AE266E"/>
    <w:rsid w:val="00AE480B"/>
    <w:rsid w:val="00AE507A"/>
    <w:rsid w:val="00AE7FAF"/>
    <w:rsid w:val="00AF4C14"/>
    <w:rsid w:val="00B0137D"/>
    <w:rsid w:val="00B03009"/>
    <w:rsid w:val="00B0778E"/>
    <w:rsid w:val="00B10033"/>
    <w:rsid w:val="00B122EF"/>
    <w:rsid w:val="00B12A36"/>
    <w:rsid w:val="00B133FE"/>
    <w:rsid w:val="00B13C48"/>
    <w:rsid w:val="00B20B2B"/>
    <w:rsid w:val="00B2224E"/>
    <w:rsid w:val="00B23787"/>
    <w:rsid w:val="00B27E54"/>
    <w:rsid w:val="00B37F6F"/>
    <w:rsid w:val="00B37FA0"/>
    <w:rsid w:val="00B4177A"/>
    <w:rsid w:val="00B43D97"/>
    <w:rsid w:val="00B4791A"/>
    <w:rsid w:val="00B568E6"/>
    <w:rsid w:val="00B77FCD"/>
    <w:rsid w:val="00B815A0"/>
    <w:rsid w:val="00B824CC"/>
    <w:rsid w:val="00B84450"/>
    <w:rsid w:val="00B90071"/>
    <w:rsid w:val="00B93E7A"/>
    <w:rsid w:val="00B96263"/>
    <w:rsid w:val="00BA0FEE"/>
    <w:rsid w:val="00BA69FC"/>
    <w:rsid w:val="00BB0A16"/>
    <w:rsid w:val="00BB7410"/>
    <w:rsid w:val="00BC0015"/>
    <w:rsid w:val="00BD0288"/>
    <w:rsid w:val="00BE0146"/>
    <w:rsid w:val="00BE0FB9"/>
    <w:rsid w:val="00BE145D"/>
    <w:rsid w:val="00BE3898"/>
    <w:rsid w:val="00BF1CAB"/>
    <w:rsid w:val="00BF3C2E"/>
    <w:rsid w:val="00BF5E6E"/>
    <w:rsid w:val="00C01122"/>
    <w:rsid w:val="00C04A39"/>
    <w:rsid w:val="00C07123"/>
    <w:rsid w:val="00C1199C"/>
    <w:rsid w:val="00C133D2"/>
    <w:rsid w:val="00C148CC"/>
    <w:rsid w:val="00C17BA9"/>
    <w:rsid w:val="00C220FF"/>
    <w:rsid w:val="00C300F4"/>
    <w:rsid w:val="00C32E40"/>
    <w:rsid w:val="00C41403"/>
    <w:rsid w:val="00C41927"/>
    <w:rsid w:val="00C420EF"/>
    <w:rsid w:val="00C45186"/>
    <w:rsid w:val="00C463F2"/>
    <w:rsid w:val="00C47165"/>
    <w:rsid w:val="00C52E6B"/>
    <w:rsid w:val="00C56165"/>
    <w:rsid w:val="00C608A7"/>
    <w:rsid w:val="00C625D3"/>
    <w:rsid w:val="00C638FB"/>
    <w:rsid w:val="00C65141"/>
    <w:rsid w:val="00C658C6"/>
    <w:rsid w:val="00C6739B"/>
    <w:rsid w:val="00C7022F"/>
    <w:rsid w:val="00C73FC2"/>
    <w:rsid w:val="00C816F3"/>
    <w:rsid w:val="00C8200F"/>
    <w:rsid w:val="00C83763"/>
    <w:rsid w:val="00C83A6D"/>
    <w:rsid w:val="00C93220"/>
    <w:rsid w:val="00CA34C2"/>
    <w:rsid w:val="00CB2A26"/>
    <w:rsid w:val="00CB415E"/>
    <w:rsid w:val="00CB61AD"/>
    <w:rsid w:val="00CC0E9C"/>
    <w:rsid w:val="00CD06C3"/>
    <w:rsid w:val="00CD24CD"/>
    <w:rsid w:val="00CD6948"/>
    <w:rsid w:val="00CD781D"/>
    <w:rsid w:val="00CD79DA"/>
    <w:rsid w:val="00CE485F"/>
    <w:rsid w:val="00CE49D3"/>
    <w:rsid w:val="00CE4B1A"/>
    <w:rsid w:val="00CF1614"/>
    <w:rsid w:val="00CF3D01"/>
    <w:rsid w:val="00CF5DCC"/>
    <w:rsid w:val="00CF6AB3"/>
    <w:rsid w:val="00D0363C"/>
    <w:rsid w:val="00D26A55"/>
    <w:rsid w:val="00D304A9"/>
    <w:rsid w:val="00D31659"/>
    <w:rsid w:val="00D379A9"/>
    <w:rsid w:val="00D42206"/>
    <w:rsid w:val="00D4706E"/>
    <w:rsid w:val="00D47BB8"/>
    <w:rsid w:val="00D6117D"/>
    <w:rsid w:val="00D613A3"/>
    <w:rsid w:val="00D632F5"/>
    <w:rsid w:val="00D645C6"/>
    <w:rsid w:val="00D74B88"/>
    <w:rsid w:val="00D75CB7"/>
    <w:rsid w:val="00D75D3A"/>
    <w:rsid w:val="00D804B0"/>
    <w:rsid w:val="00D85049"/>
    <w:rsid w:val="00D850F5"/>
    <w:rsid w:val="00D966A8"/>
    <w:rsid w:val="00DA37A7"/>
    <w:rsid w:val="00DA68F4"/>
    <w:rsid w:val="00DA7515"/>
    <w:rsid w:val="00DB099A"/>
    <w:rsid w:val="00DB254E"/>
    <w:rsid w:val="00DB3B51"/>
    <w:rsid w:val="00DB3B7C"/>
    <w:rsid w:val="00DC08F2"/>
    <w:rsid w:val="00DC7F2F"/>
    <w:rsid w:val="00DD37D1"/>
    <w:rsid w:val="00DD6F78"/>
    <w:rsid w:val="00DE055A"/>
    <w:rsid w:val="00DE2A28"/>
    <w:rsid w:val="00DE3AEE"/>
    <w:rsid w:val="00DE4808"/>
    <w:rsid w:val="00DF0739"/>
    <w:rsid w:val="00DF0AE0"/>
    <w:rsid w:val="00DF1565"/>
    <w:rsid w:val="00DF4C60"/>
    <w:rsid w:val="00DF6F6E"/>
    <w:rsid w:val="00E010DD"/>
    <w:rsid w:val="00E062AB"/>
    <w:rsid w:val="00E15F62"/>
    <w:rsid w:val="00E17F1E"/>
    <w:rsid w:val="00E26881"/>
    <w:rsid w:val="00E30ED1"/>
    <w:rsid w:val="00E357BD"/>
    <w:rsid w:val="00E3796B"/>
    <w:rsid w:val="00E40A12"/>
    <w:rsid w:val="00E41321"/>
    <w:rsid w:val="00E44454"/>
    <w:rsid w:val="00E47F73"/>
    <w:rsid w:val="00E5474B"/>
    <w:rsid w:val="00E55602"/>
    <w:rsid w:val="00E56775"/>
    <w:rsid w:val="00E56EEE"/>
    <w:rsid w:val="00E717E2"/>
    <w:rsid w:val="00E733ED"/>
    <w:rsid w:val="00E753E0"/>
    <w:rsid w:val="00E757A4"/>
    <w:rsid w:val="00E81734"/>
    <w:rsid w:val="00E82271"/>
    <w:rsid w:val="00E851E3"/>
    <w:rsid w:val="00E92659"/>
    <w:rsid w:val="00E95390"/>
    <w:rsid w:val="00EA13F5"/>
    <w:rsid w:val="00EA18B8"/>
    <w:rsid w:val="00EA7A52"/>
    <w:rsid w:val="00EB55DF"/>
    <w:rsid w:val="00EB653B"/>
    <w:rsid w:val="00EB7663"/>
    <w:rsid w:val="00EC1FFA"/>
    <w:rsid w:val="00EC2760"/>
    <w:rsid w:val="00ED2C2B"/>
    <w:rsid w:val="00ED361F"/>
    <w:rsid w:val="00ED5B4E"/>
    <w:rsid w:val="00ED7663"/>
    <w:rsid w:val="00EE7A57"/>
    <w:rsid w:val="00EF000D"/>
    <w:rsid w:val="00EF1A20"/>
    <w:rsid w:val="00EF2D30"/>
    <w:rsid w:val="00EF4A0B"/>
    <w:rsid w:val="00EF6083"/>
    <w:rsid w:val="00EF6491"/>
    <w:rsid w:val="00F00172"/>
    <w:rsid w:val="00F04001"/>
    <w:rsid w:val="00F13655"/>
    <w:rsid w:val="00F15956"/>
    <w:rsid w:val="00F1793C"/>
    <w:rsid w:val="00F2137E"/>
    <w:rsid w:val="00F22EE7"/>
    <w:rsid w:val="00F245CB"/>
    <w:rsid w:val="00F24745"/>
    <w:rsid w:val="00F27104"/>
    <w:rsid w:val="00F2725B"/>
    <w:rsid w:val="00F273CB"/>
    <w:rsid w:val="00F27DA8"/>
    <w:rsid w:val="00F3074C"/>
    <w:rsid w:val="00F3090F"/>
    <w:rsid w:val="00F323FF"/>
    <w:rsid w:val="00F34BD9"/>
    <w:rsid w:val="00F41064"/>
    <w:rsid w:val="00F4437D"/>
    <w:rsid w:val="00F471DA"/>
    <w:rsid w:val="00F55A0A"/>
    <w:rsid w:val="00F566D0"/>
    <w:rsid w:val="00F568DE"/>
    <w:rsid w:val="00F66E3A"/>
    <w:rsid w:val="00F707FB"/>
    <w:rsid w:val="00F71697"/>
    <w:rsid w:val="00F75A2B"/>
    <w:rsid w:val="00F76518"/>
    <w:rsid w:val="00F85080"/>
    <w:rsid w:val="00F90262"/>
    <w:rsid w:val="00FA4C5F"/>
    <w:rsid w:val="00FB7696"/>
    <w:rsid w:val="00FC34C1"/>
    <w:rsid w:val="00FD528F"/>
    <w:rsid w:val="00FD7669"/>
    <w:rsid w:val="00FE34E4"/>
    <w:rsid w:val="00FF7722"/>
    <w:rsid w:val="00FF7AAF"/>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E576C"/>
  <w15:docId w15:val="{FA838844-B74C-4E46-AAE9-189BB7A8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26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738D"/>
    <w:pPr>
      <w:spacing w:after="0" w:line="240" w:lineRule="auto"/>
    </w:pPr>
  </w:style>
  <w:style w:type="paragraph" w:styleId="Header">
    <w:name w:val="header"/>
    <w:basedOn w:val="Normal"/>
    <w:link w:val="HeaderChar"/>
    <w:uiPriority w:val="99"/>
    <w:unhideWhenUsed/>
    <w:rsid w:val="00567741"/>
    <w:pPr>
      <w:tabs>
        <w:tab w:val="center" w:pos="4680"/>
        <w:tab w:val="right" w:pos="9360"/>
      </w:tabs>
    </w:pPr>
  </w:style>
  <w:style w:type="character" w:customStyle="1" w:styleId="HeaderChar">
    <w:name w:val="Header Char"/>
    <w:basedOn w:val="DefaultParagraphFont"/>
    <w:link w:val="Header"/>
    <w:uiPriority w:val="99"/>
    <w:rsid w:val="00567741"/>
    <w:rPr>
      <w:rFonts w:eastAsiaTheme="minorEastAsia"/>
      <w:sz w:val="24"/>
      <w:szCs w:val="24"/>
    </w:rPr>
  </w:style>
  <w:style w:type="paragraph" w:styleId="Footer">
    <w:name w:val="footer"/>
    <w:basedOn w:val="Normal"/>
    <w:link w:val="FooterChar"/>
    <w:uiPriority w:val="99"/>
    <w:unhideWhenUsed/>
    <w:rsid w:val="00567741"/>
    <w:pPr>
      <w:tabs>
        <w:tab w:val="center" w:pos="4680"/>
        <w:tab w:val="right" w:pos="9360"/>
      </w:tabs>
    </w:pPr>
  </w:style>
  <w:style w:type="character" w:customStyle="1" w:styleId="FooterChar">
    <w:name w:val="Footer Char"/>
    <w:basedOn w:val="DefaultParagraphFont"/>
    <w:link w:val="Footer"/>
    <w:uiPriority w:val="99"/>
    <w:rsid w:val="00567741"/>
    <w:rPr>
      <w:rFonts w:eastAsiaTheme="minorEastAsia"/>
      <w:sz w:val="24"/>
      <w:szCs w:val="24"/>
    </w:rPr>
  </w:style>
  <w:style w:type="paragraph" w:styleId="Revision">
    <w:name w:val="Revision"/>
    <w:hidden/>
    <w:uiPriority w:val="99"/>
    <w:semiHidden/>
    <w:rsid w:val="00CD79DA"/>
    <w:pPr>
      <w:spacing w:after="0" w:line="240" w:lineRule="auto"/>
    </w:pPr>
    <w:rPr>
      <w:rFonts w:eastAsiaTheme="minorEastAsia"/>
      <w:sz w:val="24"/>
      <w:szCs w:val="24"/>
    </w:rPr>
  </w:style>
  <w:style w:type="character" w:styleId="HTMLCite">
    <w:name w:val="HTML Cite"/>
    <w:basedOn w:val="DefaultParagraphFont"/>
    <w:uiPriority w:val="99"/>
    <w:semiHidden/>
    <w:unhideWhenUsed/>
    <w:rsid w:val="00116744"/>
    <w:rPr>
      <w:i/>
      <w:iCs/>
    </w:rPr>
  </w:style>
  <w:style w:type="character" w:styleId="Hyperlink">
    <w:name w:val="Hyperlink"/>
    <w:basedOn w:val="DefaultParagraphFont"/>
    <w:uiPriority w:val="99"/>
    <w:unhideWhenUsed/>
    <w:rsid w:val="00116744"/>
    <w:rPr>
      <w:color w:val="0000FF"/>
      <w:u w:val="single"/>
    </w:rPr>
  </w:style>
  <w:style w:type="character" w:customStyle="1" w:styleId="cs1-lock-free">
    <w:name w:val="cs1-lock-free"/>
    <w:basedOn w:val="DefaultParagraphFont"/>
    <w:rsid w:val="00116744"/>
  </w:style>
  <w:style w:type="paragraph" w:customStyle="1" w:styleId="Default">
    <w:name w:val="Default"/>
    <w:rsid w:val="008D5627"/>
    <w:pPr>
      <w:autoSpaceDE w:val="0"/>
      <w:autoSpaceDN w:val="0"/>
      <w:adjustRightInd w:val="0"/>
      <w:spacing w:after="0" w:line="240" w:lineRule="auto"/>
    </w:pPr>
    <w:rPr>
      <w:rFonts w:ascii="Arial Nova" w:hAnsi="Arial Nova" w:cs="Arial Nova"/>
      <w:color w:val="000000"/>
      <w:sz w:val="24"/>
      <w:szCs w:val="24"/>
    </w:rPr>
  </w:style>
  <w:style w:type="character" w:customStyle="1" w:styleId="hgkelc">
    <w:name w:val="hgkelc"/>
    <w:basedOn w:val="DefaultParagraphFont"/>
    <w:rsid w:val="004279FC"/>
  </w:style>
  <w:style w:type="character" w:styleId="UnresolvedMention">
    <w:name w:val="Unresolved Mention"/>
    <w:basedOn w:val="DefaultParagraphFont"/>
    <w:uiPriority w:val="99"/>
    <w:semiHidden/>
    <w:unhideWhenUsed/>
    <w:rsid w:val="00985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978006">
      <w:bodyDiv w:val="1"/>
      <w:marLeft w:val="0"/>
      <w:marRight w:val="0"/>
      <w:marTop w:val="0"/>
      <w:marBottom w:val="0"/>
      <w:divBdr>
        <w:top w:val="none" w:sz="0" w:space="0" w:color="auto"/>
        <w:left w:val="none" w:sz="0" w:space="0" w:color="auto"/>
        <w:bottom w:val="none" w:sz="0" w:space="0" w:color="auto"/>
        <w:right w:val="none" w:sz="0" w:space="0" w:color="auto"/>
      </w:divBdr>
      <w:divsChild>
        <w:div w:id="195854118">
          <w:marLeft w:val="173"/>
          <w:marRight w:val="0"/>
          <w:marTop w:val="0"/>
          <w:marBottom w:val="0"/>
          <w:divBdr>
            <w:top w:val="none" w:sz="0" w:space="0" w:color="auto"/>
            <w:left w:val="none" w:sz="0" w:space="0" w:color="auto"/>
            <w:bottom w:val="none" w:sz="0" w:space="0" w:color="auto"/>
            <w:right w:val="none" w:sz="0" w:space="0" w:color="auto"/>
          </w:divBdr>
        </w:div>
        <w:div w:id="565146286">
          <w:marLeft w:val="173"/>
          <w:marRight w:val="0"/>
          <w:marTop w:val="0"/>
          <w:marBottom w:val="0"/>
          <w:divBdr>
            <w:top w:val="none" w:sz="0" w:space="0" w:color="auto"/>
            <w:left w:val="none" w:sz="0" w:space="0" w:color="auto"/>
            <w:bottom w:val="none" w:sz="0" w:space="0" w:color="auto"/>
            <w:right w:val="none" w:sz="0" w:space="0" w:color="auto"/>
          </w:divBdr>
        </w:div>
        <w:div w:id="729157466">
          <w:marLeft w:val="173"/>
          <w:marRight w:val="0"/>
          <w:marTop w:val="0"/>
          <w:marBottom w:val="0"/>
          <w:divBdr>
            <w:top w:val="none" w:sz="0" w:space="0" w:color="auto"/>
            <w:left w:val="none" w:sz="0" w:space="0" w:color="auto"/>
            <w:bottom w:val="none" w:sz="0" w:space="0" w:color="auto"/>
            <w:right w:val="none" w:sz="0" w:space="0" w:color="auto"/>
          </w:divBdr>
        </w:div>
        <w:div w:id="865941956">
          <w:marLeft w:val="173"/>
          <w:marRight w:val="0"/>
          <w:marTop w:val="0"/>
          <w:marBottom w:val="0"/>
          <w:divBdr>
            <w:top w:val="none" w:sz="0" w:space="0" w:color="auto"/>
            <w:left w:val="none" w:sz="0" w:space="0" w:color="auto"/>
            <w:bottom w:val="none" w:sz="0" w:space="0" w:color="auto"/>
            <w:right w:val="none" w:sz="0" w:space="0" w:color="auto"/>
          </w:divBdr>
        </w:div>
        <w:div w:id="1101872776">
          <w:marLeft w:val="173"/>
          <w:marRight w:val="0"/>
          <w:marTop w:val="0"/>
          <w:marBottom w:val="0"/>
          <w:divBdr>
            <w:top w:val="none" w:sz="0" w:space="0" w:color="auto"/>
            <w:left w:val="none" w:sz="0" w:space="0" w:color="auto"/>
            <w:bottom w:val="none" w:sz="0" w:space="0" w:color="auto"/>
            <w:right w:val="none" w:sz="0" w:space="0" w:color="auto"/>
          </w:divBdr>
        </w:div>
        <w:div w:id="1389960322">
          <w:marLeft w:val="173"/>
          <w:marRight w:val="0"/>
          <w:marTop w:val="0"/>
          <w:marBottom w:val="0"/>
          <w:divBdr>
            <w:top w:val="none" w:sz="0" w:space="0" w:color="auto"/>
            <w:left w:val="none" w:sz="0" w:space="0" w:color="auto"/>
            <w:bottom w:val="none" w:sz="0" w:space="0" w:color="auto"/>
            <w:right w:val="none" w:sz="0" w:space="0" w:color="auto"/>
          </w:divBdr>
        </w:div>
        <w:div w:id="1785733706">
          <w:marLeft w:val="173"/>
          <w:marRight w:val="0"/>
          <w:marTop w:val="0"/>
          <w:marBottom w:val="0"/>
          <w:divBdr>
            <w:top w:val="none" w:sz="0" w:space="0" w:color="auto"/>
            <w:left w:val="none" w:sz="0" w:space="0" w:color="auto"/>
            <w:bottom w:val="none" w:sz="0" w:space="0" w:color="auto"/>
            <w:right w:val="none" w:sz="0" w:space="0" w:color="auto"/>
          </w:divBdr>
        </w:div>
        <w:div w:id="1950621235">
          <w:marLeft w:val="173"/>
          <w:marRight w:val="0"/>
          <w:marTop w:val="0"/>
          <w:marBottom w:val="0"/>
          <w:divBdr>
            <w:top w:val="none" w:sz="0" w:space="0" w:color="auto"/>
            <w:left w:val="none" w:sz="0" w:space="0" w:color="auto"/>
            <w:bottom w:val="none" w:sz="0" w:space="0" w:color="auto"/>
            <w:right w:val="none" w:sz="0" w:space="0" w:color="auto"/>
          </w:divBdr>
        </w:div>
      </w:divsChild>
    </w:div>
    <w:div w:id="1326979107">
      <w:bodyDiv w:val="1"/>
      <w:marLeft w:val="0"/>
      <w:marRight w:val="0"/>
      <w:marTop w:val="0"/>
      <w:marBottom w:val="0"/>
      <w:divBdr>
        <w:top w:val="none" w:sz="0" w:space="0" w:color="auto"/>
        <w:left w:val="none" w:sz="0" w:space="0" w:color="auto"/>
        <w:bottom w:val="none" w:sz="0" w:space="0" w:color="auto"/>
        <w:right w:val="none" w:sz="0" w:space="0" w:color="auto"/>
      </w:divBdr>
    </w:div>
    <w:div w:id="1544563739">
      <w:bodyDiv w:val="1"/>
      <w:marLeft w:val="0"/>
      <w:marRight w:val="0"/>
      <w:marTop w:val="0"/>
      <w:marBottom w:val="0"/>
      <w:divBdr>
        <w:top w:val="none" w:sz="0" w:space="0" w:color="auto"/>
        <w:left w:val="none" w:sz="0" w:space="0" w:color="auto"/>
        <w:bottom w:val="none" w:sz="0" w:space="0" w:color="auto"/>
        <w:right w:val="none" w:sz="0" w:space="0" w:color="auto"/>
      </w:divBdr>
      <w:divsChild>
        <w:div w:id="1632785507">
          <w:marLeft w:val="0"/>
          <w:marRight w:val="0"/>
          <w:marTop w:val="0"/>
          <w:marBottom w:val="0"/>
          <w:divBdr>
            <w:top w:val="none" w:sz="0" w:space="0" w:color="auto"/>
            <w:left w:val="none" w:sz="0" w:space="0" w:color="auto"/>
            <w:bottom w:val="none" w:sz="0" w:space="0" w:color="auto"/>
            <w:right w:val="none" w:sz="0" w:space="0" w:color="auto"/>
          </w:divBdr>
          <w:divsChild>
            <w:div w:id="698815605">
              <w:marLeft w:val="0"/>
              <w:marRight w:val="0"/>
              <w:marTop w:val="0"/>
              <w:marBottom w:val="0"/>
              <w:divBdr>
                <w:top w:val="none" w:sz="0" w:space="0" w:color="auto"/>
                <w:left w:val="none" w:sz="0" w:space="0" w:color="auto"/>
                <w:bottom w:val="none" w:sz="0" w:space="0" w:color="auto"/>
                <w:right w:val="none" w:sz="0" w:space="0" w:color="auto"/>
              </w:divBdr>
            </w:div>
          </w:divsChild>
        </w:div>
        <w:div w:id="74589689">
          <w:marLeft w:val="0"/>
          <w:marRight w:val="0"/>
          <w:marTop w:val="0"/>
          <w:marBottom w:val="0"/>
          <w:divBdr>
            <w:top w:val="none" w:sz="0" w:space="0" w:color="auto"/>
            <w:left w:val="none" w:sz="0" w:space="0" w:color="auto"/>
            <w:bottom w:val="none" w:sz="0" w:space="0" w:color="auto"/>
            <w:right w:val="none" w:sz="0" w:space="0" w:color="auto"/>
          </w:divBdr>
        </w:div>
      </w:divsChild>
    </w:div>
    <w:div w:id="1640458562">
      <w:bodyDiv w:val="1"/>
      <w:marLeft w:val="0"/>
      <w:marRight w:val="0"/>
      <w:marTop w:val="0"/>
      <w:marBottom w:val="0"/>
      <w:divBdr>
        <w:top w:val="none" w:sz="0" w:space="0" w:color="auto"/>
        <w:left w:val="none" w:sz="0" w:space="0" w:color="auto"/>
        <w:bottom w:val="none" w:sz="0" w:space="0" w:color="auto"/>
        <w:right w:val="none" w:sz="0" w:space="0" w:color="auto"/>
      </w:divBdr>
    </w:div>
    <w:div w:id="1999771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Sacituzumab_goviteca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DC0C9-AB17-4B20-BE48-7000E005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david.krizman.ctr</dc:creator>
  <cp:keywords/>
  <dc:description/>
  <cp:lastModifiedBy>David Krizman</cp:lastModifiedBy>
  <cp:revision>147</cp:revision>
  <dcterms:created xsi:type="dcterms:W3CDTF">2022-03-23T13:48:00Z</dcterms:created>
  <dcterms:modified xsi:type="dcterms:W3CDTF">2022-09-06T15:15:00Z</dcterms:modified>
</cp:coreProperties>
</file>